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238" w:after="62"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7"/>
          <w:shd w:fill="auto" w:val="clear"/>
        </w:rPr>
        <w:t xml:space="preserve">РЕСПУБЛИКА МОРДОВИЯ</w:t>
      </w:r>
    </w:p>
    <w:p>
      <w:pPr>
        <w:spacing w:before="108" w:after="108" w:line="240"/>
        <w:ind w:right="0" w:left="0" w:firstLine="0"/>
        <w:jc w:val="center"/>
        <w:rPr>
          <w:rFonts w:ascii="Times New Roman" w:hAnsi="Times New Roman" w:cs="Times New Roman" w:eastAsia="Times New Roman"/>
          <w:b/>
          <w:color w:val="26282F"/>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Дубенский муниципальный район Совет депутатов </w:t>
      </w:r>
    </w:p>
    <w:p>
      <w:pPr>
        <w:spacing w:before="108" w:after="108" w:line="240"/>
        <w:ind w:right="0" w:left="0" w:firstLine="0"/>
        <w:jc w:val="center"/>
        <w:rPr>
          <w:rFonts w:ascii="Times New Roman" w:hAnsi="Times New Roman" w:cs="Times New Roman" w:eastAsia="Times New Roman"/>
          <w:b/>
          <w:color w:val="26282F"/>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Кабаевского сельского поселения шестого созыва</w:t>
      </w:r>
    </w:p>
    <w:p>
      <w:pPr>
        <w:spacing w:before="10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7"/>
          <w:shd w:fill="auto" w:val="clear"/>
        </w:rPr>
        <w:t xml:space="preserve">РЕШЕНИЕ</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7"/>
          <w:shd w:fill="auto" w:val="clear"/>
        </w:rPr>
        <w:t xml:space="preserve">с. Кабаево           </w:t>
      </w:r>
    </w:p>
    <w:p>
      <w:pPr>
        <w:spacing w:before="10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7"/>
          <w:shd w:fill="auto" w:val="clear"/>
        </w:rPr>
        <w:t xml:space="preserve">28.12.2016</w:t>
      </w:r>
      <w:r>
        <w:rPr>
          <w:rFonts w:ascii="Times New Roman" w:hAnsi="Times New Roman" w:cs="Times New Roman" w:eastAsia="Times New Roman"/>
          <w:b/>
          <w:color w:val="auto"/>
          <w:spacing w:val="0"/>
          <w:position w:val="0"/>
          <w:sz w:val="27"/>
          <w:shd w:fill="auto" w:val="clear"/>
        </w:rPr>
        <w:t xml:space="preserve">г.                                                                                            № 16 </w:t>
      </w:r>
    </w:p>
    <w:p>
      <w:pPr>
        <w:widowControl w:val="false"/>
        <w:spacing w:before="108" w:after="108" w:line="240"/>
        <w:ind w:right="0" w:left="0" w:firstLine="0"/>
        <w:jc w:val="center"/>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32"/>
          <w:shd w:fill="auto" w:val="clear"/>
        </w:rPr>
        <w:t xml:space="preserve">Об утверждении Положения «О порядке рассмотрения заявок </w:t>
      </w:r>
      <w:hyperlink xmlns:r="http://schemas.openxmlformats.org/officeDocument/2006/relationships" r:id="docRId0">
        <w:r>
          <w:rPr>
            <w:rFonts w:ascii="Times New Roman" w:hAnsi="Times New Roman" w:cs="Times New Roman" w:eastAsia="Times New Roman"/>
            <w:color w:val="auto"/>
            <w:spacing w:val="0"/>
            <w:position w:val="0"/>
            <w:sz w:val="26"/>
            <w:shd w:fill="auto" w:val="clear"/>
          </w:rPr>
          <w:t xml:space="preserve">Земельным кодексом</w:t>
        </w:r>
      </w:hyperlink>
      <w:r>
        <w:rPr>
          <w:rFonts w:ascii="Times New Roman" w:hAnsi="Times New Roman" w:cs="Times New Roman" w:eastAsia="Times New Roman"/>
          <w:color w:val="auto"/>
          <w:spacing w:val="0"/>
          <w:position w:val="0"/>
          <w:sz w:val="26"/>
          <w:shd w:fill="auto" w:val="clear"/>
        </w:rPr>
        <w:t xml:space="preserve"> Российской Федерации, федеральными законами </w:t>
      </w:r>
      <w:hyperlink xmlns:r="http://schemas.openxmlformats.org/officeDocument/2006/relationships" r:id="docRId1">
        <w:r>
          <w:rPr>
            <w:rFonts w:ascii="Times New Roman" w:hAnsi="Times New Roman" w:cs="Times New Roman" w:eastAsia="Times New Roman"/>
            <w:color w:val="auto"/>
            <w:spacing w:val="0"/>
            <w:position w:val="0"/>
            <w:sz w:val="26"/>
            <w:shd w:fill="auto" w:val="clear"/>
          </w:rPr>
          <w:t xml:space="preserve">от 25 октября 2001 года N 137-ФЗ</w:t>
        </w:r>
      </w:hyperlink>
      <w:r>
        <w:rPr>
          <w:rFonts w:ascii="Times New Roman" w:hAnsi="Times New Roman" w:cs="Times New Roman" w:eastAsia="Times New Roman"/>
          <w:color w:val="auto"/>
          <w:spacing w:val="0"/>
          <w:position w:val="0"/>
          <w:sz w:val="26"/>
          <w:shd w:fill="auto" w:val="clear"/>
        </w:rPr>
        <w:t xml:space="preserve"> «О введении в действие Земельного кодекса Российской Федерации», </w:t>
      </w:r>
      <w:hyperlink xmlns:r="http://schemas.openxmlformats.org/officeDocument/2006/relationships" r:id="docRId2">
        <w:r>
          <w:rPr>
            <w:rFonts w:ascii="Times New Roman" w:hAnsi="Times New Roman" w:cs="Times New Roman" w:eastAsia="Times New Roman"/>
            <w:color w:val="auto"/>
            <w:spacing w:val="0"/>
            <w:position w:val="0"/>
            <w:sz w:val="26"/>
            <w:shd w:fill="auto" w:val="clear"/>
          </w:rPr>
          <w:t xml:space="preserve">от 24 июля 2002 года N 101-ФЗ</w:t>
        </w:r>
      </w:hyperlink>
      <w:r>
        <w:rPr>
          <w:rFonts w:ascii="Times New Roman" w:hAnsi="Times New Roman" w:cs="Times New Roman" w:eastAsia="Times New Roman"/>
          <w:color w:val="auto"/>
          <w:spacing w:val="0"/>
          <w:position w:val="0"/>
          <w:sz w:val="26"/>
          <w:shd w:fill="auto" w:val="clear"/>
        </w:rPr>
        <w:t xml:space="preserve"> «Об обороте земель сельскохозяйственного назначения» Совет депутатов Кабаевского  сельского поселения решил:</w:t>
      </w:r>
    </w:p>
    <w:p>
      <w:pPr>
        <w:widowControl w:val="false"/>
        <w:spacing w:before="108" w:after="108" w:line="240"/>
        <w:ind w:right="0" w:left="0" w:firstLine="0"/>
        <w:jc w:val="center"/>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1. Утвердить прилагаемое </w:t>
      </w:r>
      <w:hyperlink xmlns:r="http://schemas.openxmlformats.org/officeDocument/2006/relationships" r:id="docRId3">
        <w:r>
          <w:rPr>
            <w:rFonts w:ascii="Times New Roman" w:hAnsi="Times New Roman" w:cs="Times New Roman" w:eastAsia="Times New Roman"/>
            <w:color w:val="auto"/>
            <w:spacing w:val="0"/>
            <w:position w:val="0"/>
            <w:sz w:val="26"/>
            <w:shd w:fill="auto" w:val="clear"/>
          </w:rPr>
          <w:t xml:space="preserve">Положение</w:t>
        </w:r>
      </w:hyperlink>
      <w:r>
        <w:rPr>
          <w:rFonts w:ascii="Times New Roman" w:hAnsi="Times New Roman" w:cs="Times New Roman" w:eastAsia="Times New Roman"/>
          <w:color w:val="auto"/>
          <w:spacing w:val="0"/>
          <w:position w:val="0"/>
          <w:sz w:val="26"/>
          <w:shd w:fill="auto" w:val="clear"/>
        </w:rPr>
        <w:t xml:space="preserve"> о порядке рассмотрения заявок сельскохозяйственных организаций и крестьянских (фермерских) хозяйств и принятия решения о предоставлении им земельных долей или земельных участков, находящихся в муниципальной собственности Кабаевского сельского поселения.</w:t>
      </w:r>
    </w:p>
    <w:p>
      <w:pPr>
        <w:widowControl w:val="false"/>
        <w:spacing w:before="108" w:after="108" w:line="240"/>
        <w:ind w:right="0" w:left="0" w:firstLine="0"/>
        <w:jc w:val="center"/>
        <w:rPr>
          <w:rFonts w:ascii="Times New Roman" w:hAnsi="Times New Roman" w:cs="Times New Roman" w:eastAsia="Times New Roman"/>
          <w:color w:val="auto"/>
          <w:spacing w:val="0"/>
          <w:position w:val="0"/>
          <w:sz w:val="26"/>
          <w:shd w:fill="auto" w:val="clear"/>
        </w:rPr>
      </w:pPr>
    </w:p>
    <w:p>
      <w:pPr>
        <w:widowControl w:val="false"/>
        <w:spacing w:before="108" w:after="108" w:line="240"/>
        <w:ind w:right="0" w:left="0" w:firstLine="0"/>
        <w:jc w:val="center"/>
        <w:rPr>
          <w:rFonts w:ascii="Times New Roman" w:hAnsi="Times New Roman" w:cs="Times New Roman" w:eastAsia="Times New Roman"/>
          <w:color w:val="auto"/>
          <w:spacing w:val="0"/>
          <w:position w:val="0"/>
          <w:sz w:val="26"/>
          <w:shd w:fill="auto" w:val="clear"/>
        </w:rPr>
      </w:pPr>
    </w:p>
    <w:p>
      <w:pPr>
        <w:widowControl w:val="false"/>
        <w:spacing w:before="108" w:after="108" w:line="240"/>
        <w:ind w:right="0" w:left="0" w:firstLine="0"/>
        <w:jc w:val="center"/>
        <w:rPr>
          <w:rFonts w:ascii="Times New Roman" w:hAnsi="Times New Roman" w:cs="Times New Roman" w:eastAsia="Times New Roman"/>
          <w:color w:val="auto"/>
          <w:spacing w:val="0"/>
          <w:position w:val="0"/>
          <w:sz w:val="26"/>
          <w:shd w:fill="auto" w:val="clear"/>
        </w:rPr>
      </w:pPr>
    </w:p>
    <w:p>
      <w:pPr>
        <w:widowControl w:val="false"/>
        <w:spacing w:before="108" w:after="108" w:line="240"/>
        <w:ind w:right="0" w:left="0" w:firstLine="0"/>
        <w:jc w:val="center"/>
        <w:rPr>
          <w:rFonts w:ascii="Times New Roman" w:hAnsi="Times New Roman" w:cs="Times New Roman" w:eastAsia="Times New Roman"/>
          <w:color w:val="auto"/>
          <w:spacing w:val="0"/>
          <w:position w:val="0"/>
          <w:sz w:val="26"/>
          <w:shd w:fill="auto" w:val="clear"/>
        </w:rPr>
      </w:pPr>
    </w:p>
    <w:p>
      <w:pPr>
        <w:widowControl w:val="false"/>
        <w:spacing w:before="108" w:after="108" w:line="240"/>
        <w:ind w:right="0" w:left="0" w:firstLine="0"/>
        <w:jc w:val="center"/>
        <w:rPr>
          <w:rFonts w:ascii="Times New Roman" w:hAnsi="Times New Roman" w:cs="Times New Roman" w:eastAsia="Times New Roman"/>
          <w:color w:val="auto"/>
          <w:spacing w:val="0"/>
          <w:position w:val="0"/>
          <w:sz w:val="26"/>
          <w:shd w:fill="auto" w:val="clear"/>
        </w:rPr>
      </w:pPr>
    </w:p>
    <w:p>
      <w:pPr>
        <w:widowControl w:val="false"/>
        <w:spacing w:before="108" w:after="108" w:line="240"/>
        <w:ind w:right="0" w:left="0" w:firstLine="0"/>
        <w:jc w:val="center"/>
        <w:rPr>
          <w:rFonts w:ascii="Times New Roman" w:hAnsi="Times New Roman" w:cs="Times New Roman" w:eastAsia="Times New Roman"/>
          <w:color w:val="auto"/>
          <w:spacing w:val="0"/>
          <w:position w:val="0"/>
          <w:sz w:val="26"/>
          <w:shd w:fill="auto" w:val="clear"/>
        </w:rPr>
      </w:pPr>
    </w:p>
    <w:p>
      <w:pPr>
        <w:widowControl w:val="false"/>
        <w:spacing w:before="108" w:after="108" w:line="240"/>
        <w:ind w:right="0" w:left="0" w:firstLine="0"/>
        <w:jc w:val="center"/>
        <w:rPr>
          <w:rFonts w:ascii="Times New Roman" w:hAnsi="Times New Roman" w:cs="Times New Roman" w:eastAsia="Times New Roman"/>
          <w:color w:val="auto"/>
          <w:spacing w:val="0"/>
          <w:position w:val="0"/>
          <w:sz w:val="26"/>
          <w:shd w:fill="auto" w:val="clear"/>
        </w:rPr>
      </w:pPr>
    </w:p>
    <w:p>
      <w:pPr>
        <w:widowControl w:val="false"/>
        <w:spacing w:before="108" w:after="108" w:line="240"/>
        <w:ind w:right="0" w:left="0" w:firstLine="0"/>
        <w:jc w:val="center"/>
        <w:rPr>
          <w:rFonts w:ascii="Times New Roman" w:hAnsi="Times New Roman" w:cs="Times New Roman" w:eastAsia="Times New Roman"/>
          <w:color w:val="auto"/>
          <w:spacing w:val="0"/>
          <w:position w:val="0"/>
          <w:sz w:val="26"/>
          <w:shd w:fill="auto" w:val="clear"/>
        </w:rPr>
      </w:pPr>
    </w:p>
    <w:tbl>
      <w:tblPr/>
      <w:tblGrid>
        <w:gridCol w:w="6867"/>
        <w:gridCol w:w="3432"/>
      </w:tblGrid>
      <w:tr>
        <w:trPr>
          <w:trHeight w:val="0" w:hRule="atLeast"/>
          <w:jc w:val="left"/>
        </w:trPr>
        <w:tc>
          <w:tcPr>
            <w:tcW w:w="6867" w:type="dxa"/>
            <w:tcBorders>
              <w:top w:val="single" w:color="836967" w:sz="0"/>
              <w:left w:val="single" w:color="836967" w:sz="0"/>
              <w:bottom w:val="single" w:color="836967" w:sz="0"/>
              <w:right w:val="single" w:color="836967" w:sz="0"/>
            </w:tcBorders>
            <w:shd w:color="auto" w:fill="auto" w:val="clear"/>
            <w:tcMar>
              <w:left w:w="108" w:type="dxa"/>
              <w:right w:w="108" w:type="dxa"/>
            </w:tcMar>
            <w:vAlign w:val="bottom"/>
          </w:tcPr>
          <w:p>
            <w:pPr>
              <w:widowControl w:val="false"/>
              <w:spacing w:before="0" w:after="0" w:line="240"/>
              <w:ind w:right="0" w:left="0" w:firstLine="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Глава Кабаевского сельского поселения</w:t>
              <w:br/>
              <w:t xml:space="preserve">Дубенского муниципального района</w:t>
              <w:br/>
              <w:t xml:space="preserve">Республики Мордовия</w:t>
            </w:r>
          </w:p>
        </w:tc>
        <w:tc>
          <w:tcPr>
            <w:tcW w:w="3432" w:type="dxa"/>
            <w:tcBorders>
              <w:top w:val="single" w:color="836967" w:sz="0"/>
              <w:left w:val="single" w:color="836967" w:sz="0"/>
              <w:bottom w:val="single" w:color="836967" w:sz="0"/>
              <w:right w:val="single" w:color="836967" w:sz="0"/>
            </w:tcBorders>
            <w:shd w:color="auto" w:fill="auto" w:val="clear"/>
            <w:tcMar>
              <w:left w:w="108" w:type="dxa"/>
              <w:right w:w="108" w:type="dxa"/>
            </w:tcMar>
            <w:vAlign w:val="bottom"/>
          </w:tcPr>
          <w:p>
            <w:pPr>
              <w:widowControl w:val="false"/>
              <w:spacing w:before="0" w:after="0" w:line="240"/>
              <w:ind w:right="0" w:left="0" w:firstLine="0"/>
              <w:jc w:val="righ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М.Н.Орлова</w:t>
            </w:r>
          </w:p>
        </w:tc>
      </w:tr>
    </w:tbl>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p>
    <w:p>
      <w:pPr>
        <w:widowControl w:val="false"/>
        <w:spacing w:before="108" w:after="108" w:line="240"/>
        <w:ind w:right="0" w:left="0" w:firstLine="0"/>
        <w:jc w:val="center"/>
        <w:rPr>
          <w:rFonts w:ascii="Times New Roman" w:hAnsi="Times New Roman" w:cs="Times New Roman" w:eastAsia="Times New Roman"/>
          <w:b/>
          <w:color w:val="auto"/>
          <w:spacing w:val="0"/>
          <w:position w:val="0"/>
          <w:sz w:val="26"/>
          <w:shd w:fill="auto" w:val="clear"/>
        </w:rPr>
      </w:pPr>
    </w:p>
    <w:p>
      <w:pPr>
        <w:widowControl w:val="false"/>
        <w:spacing w:before="108" w:after="108" w:line="240"/>
        <w:ind w:right="0" w:left="0" w:firstLine="0"/>
        <w:jc w:val="center"/>
        <w:rPr>
          <w:rFonts w:ascii="Times New Roman" w:hAnsi="Times New Roman" w:cs="Times New Roman" w:eastAsia="Times New Roman"/>
          <w:b/>
          <w:color w:val="auto"/>
          <w:spacing w:val="0"/>
          <w:position w:val="0"/>
          <w:sz w:val="26"/>
          <w:shd w:fill="auto" w:val="clear"/>
        </w:rPr>
      </w:pPr>
    </w:p>
    <w:p>
      <w:pPr>
        <w:widowControl w:val="false"/>
        <w:spacing w:before="108" w:after="108" w:line="240"/>
        <w:ind w:right="0" w:left="0" w:firstLine="0"/>
        <w:jc w:val="center"/>
        <w:rPr>
          <w:rFonts w:ascii="Times New Roman" w:hAnsi="Times New Roman" w:cs="Times New Roman" w:eastAsia="Times New Roman"/>
          <w:b/>
          <w:color w:val="auto"/>
          <w:spacing w:val="0"/>
          <w:position w:val="0"/>
          <w:sz w:val="26"/>
          <w:shd w:fill="auto" w:val="clear"/>
        </w:rPr>
      </w:pPr>
    </w:p>
    <w:p>
      <w:pPr>
        <w:widowControl w:val="false"/>
        <w:spacing w:before="108" w:after="108" w:line="240"/>
        <w:ind w:right="0" w:left="0" w:firstLine="0"/>
        <w:jc w:val="center"/>
        <w:rPr>
          <w:rFonts w:ascii="Times New Roman" w:hAnsi="Times New Roman" w:cs="Times New Roman" w:eastAsia="Times New Roman"/>
          <w:b/>
          <w:color w:val="auto"/>
          <w:spacing w:val="0"/>
          <w:position w:val="0"/>
          <w:sz w:val="26"/>
          <w:shd w:fill="auto" w:val="clear"/>
        </w:rPr>
      </w:pPr>
    </w:p>
    <w:p>
      <w:pPr>
        <w:widowControl w:val="false"/>
        <w:spacing w:before="108" w:after="108" w:line="240"/>
        <w:ind w:right="0" w:left="0" w:firstLine="0"/>
        <w:jc w:val="center"/>
        <w:rPr>
          <w:rFonts w:ascii="Times New Roman" w:hAnsi="Times New Roman" w:cs="Times New Roman" w:eastAsia="Times New Roman"/>
          <w:b/>
          <w:color w:val="auto"/>
          <w:spacing w:val="0"/>
          <w:position w:val="0"/>
          <w:sz w:val="26"/>
          <w:shd w:fill="auto" w:val="clear"/>
        </w:rPr>
      </w:pPr>
    </w:p>
    <w:p>
      <w:pPr>
        <w:widowControl w:val="false"/>
        <w:spacing w:before="108" w:after="108" w:line="240"/>
        <w:ind w:right="0" w:left="0" w:firstLine="0"/>
        <w:jc w:val="center"/>
        <w:rPr>
          <w:rFonts w:ascii="Times New Roman" w:hAnsi="Times New Roman" w:cs="Times New Roman" w:eastAsia="Times New Roman"/>
          <w:b/>
          <w:color w:val="auto"/>
          <w:spacing w:val="0"/>
          <w:position w:val="0"/>
          <w:sz w:val="26"/>
          <w:shd w:fill="auto" w:val="clear"/>
        </w:rPr>
      </w:pPr>
    </w:p>
    <w:p>
      <w:pPr>
        <w:widowControl w:val="false"/>
        <w:spacing w:before="108" w:after="108"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Положение</w:t>
        <w:br/>
        <w:t xml:space="preserve">О порядке рассмотрения заявок сельскохозяйственных организаций и крестьянских (фермерских) хозяйств и принятия решения о предоставлении им земельных долей или земельных участков, выделенных в счет земельных долей, находящихся в муниципальной собственности Кабаевского сельского поселения</w:t>
        <w:br/>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p>
    <w:p>
      <w:pPr>
        <w:widowControl w:val="false"/>
        <w:spacing w:before="108" w:after="108"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1. Общие положения</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1.1. Положение о порядке рассмотрения заявок сельскохозяйственных организаций и крестьянских (фермерских) хозяйств и принятия решения о предоставлении им земельных долей или земельных участков, выделенных в счет земельных долей, находящихся в муниципальной собственности Кабаевского сельского поселения (далее - Положение) разработано в соответствии с </w:t>
      </w:r>
      <w:hyperlink xmlns:r="http://schemas.openxmlformats.org/officeDocument/2006/relationships" r:id="docRId4">
        <w:r>
          <w:rPr>
            <w:rFonts w:ascii="Times New Roman" w:hAnsi="Times New Roman" w:cs="Times New Roman" w:eastAsia="Times New Roman"/>
            <w:color w:val="auto"/>
            <w:spacing w:val="0"/>
            <w:position w:val="0"/>
            <w:sz w:val="26"/>
            <w:shd w:fill="auto" w:val="clear"/>
          </w:rPr>
          <w:t xml:space="preserve">Земельным кодексом</w:t>
        </w:r>
      </w:hyperlink>
      <w:r>
        <w:rPr>
          <w:rFonts w:ascii="Times New Roman" w:hAnsi="Times New Roman" w:cs="Times New Roman" w:eastAsia="Times New Roman"/>
          <w:color w:val="auto"/>
          <w:spacing w:val="0"/>
          <w:position w:val="0"/>
          <w:sz w:val="26"/>
          <w:shd w:fill="auto" w:val="clear"/>
        </w:rPr>
        <w:t xml:space="preserve"> Российской Федерации, федеральными законами </w:t>
      </w:r>
      <w:hyperlink xmlns:r="http://schemas.openxmlformats.org/officeDocument/2006/relationships" r:id="docRId5">
        <w:r>
          <w:rPr>
            <w:rFonts w:ascii="Times New Roman" w:hAnsi="Times New Roman" w:cs="Times New Roman" w:eastAsia="Times New Roman"/>
            <w:color w:val="auto"/>
            <w:spacing w:val="0"/>
            <w:position w:val="0"/>
            <w:sz w:val="26"/>
            <w:shd w:fill="auto" w:val="clear"/>
          </w:rPr>
          <w:t xml:space="preserve">от 25 октября 2001 года N 137-ФЗ</w:t>
        </w:r>
      </w:hyperlink>
      <w:r>
        <w:rPr>
          <w:rFonts w:ascii="Times New Roman" w:hAnsi="Times New Roman" w:cs="Times New Roman" w:eastAsia="Times New Roman"/>
          <w:color w:val="auto"/>
          <w:spacing w:val="0"/>
          <w:position w:val="0"/>
          <w:sz w:val="26"/>
          <w:shd w:fill="auto" w:val="clear"/>
        </w:rPr>
        <w:t xml:space="preserve"> «О введении в действие Земельного кодекса Российской Федерации», </w:t>
      </w:r>
      <w:hyperlink xmlns:r="http://schemas.openxmlformats.org/officeDocument/2006/relationships" r:id="docRId6">
        <w:r>
          <w:rPr>
            <w:rFonts w:ascii="Times New Roman" w:hAnsi="Times New Roman" w:cs="Times New Roman" w:eastAsia="Times New Roman"/>
            <w:color w:val="auto"/>
            <w:spacing w:val="0"/>
            <w:position w:val="0"/>
            <w:sz w:val="26"/>
            <w:shd w:fill="auto" w:val="clear"/>
          </w:rPr>
          <w:t xml:space="preserve">от 24 июля 2002 года N 101-ФЗ</w:t>
        </w:r>
      </w:hyperlink>
      <w:r>
        <w:rPr>
          <w:rFonts w:ascii="Times New Roman" w:hAnsi="Times New Roman" w:cs="Times New Roman" w:eastAsia="Times New Roman"/>
          <w:color w:val="auto"/>
          <w:spacing w:val="0"/>
          <w:position w:val="0"/>
          <w:sz w:val="26"/>
          <w:shd w:fill="auto" w:val="clear"/>
        </w:rPr>
        <w:t xml:space="preserve"> «Об обороте земель сельскохозяйственного назначения».</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1.2. Положение устанавливает порядок рассмотрения заявок сельскохозяйственных организаций и крестьянских (фермерских) хозяйств и принятия решения о предоставлении им земельных долей или земельных участков, выделенных в счет земельных долей, находящихся в муниципальной собственности Кабаевского сельского поселения.</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1.3. Администрация Кабаевского сельского поселения вправе распорядится находящимися на праве муниципальной собственности земельными долями, признанными в установленном порядке невостребованными, либо земельными долями, в отношении которых осуществлен отказ от права собственности, а так же земельными участками, выделенными в счет таких долей.</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p>
    <w:p>
      <w:pPr>
        <w:widowControl w:val="false"/>
        <w:spacing w:before="108" w:after="108"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2. Порядок рассмотрения заявок сельскохозяйственных организаций и крестьянских (фермерских) хозяйств и принятия решения о предоставлении им земельных долей или земельных участков, выделенных в счет земельных долей, находящихся в муниципальной собственности Кабаевского сельского поселения</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2.1. В течение шести месяцев со дня возникновения права муниципальной собственности на земельную долю Администрация Кабаевского сельского поселения вправе продать эту земельную долю сельскохозяйственной организации или крестьянскому (фермерскому) хозяйству, использующим земельный участок, находящийся в долевой собственности. 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2.2. Не позднее чем в течение одного месяца со дня возникновения права муниципальной собственности на земельную долю, Администрация Кабаевского сельского поселения опубликовывает в информационном бюллетене Кабаевского поселения и размещает на официальном сайте администрации сельского поселения в информационно-коммуникационной сети «Интернет» информацию о возможности приобретения земельной доли.</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2.3. Лица, заинтересованные в предоставлении земельной доли, подают заявление в администрацию Кабаевского сельского поселения на имя Главы Кабаевского сельского поселения (далее Главе поселения).</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К заявлению прилагаются:</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 копии документов, удостоверяющих личность гражданина или подтверждающих регистрацию юридического лица.</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 документы, подтверждающие использование земельного участка, в котором планируется осуществить продажу земельных долей.</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Сельскохозяйственные организации или крестьянские (фермерские) хозяйства для реализации преимущественного права покупки земельных долей могут не являться сособственниками земельных долей на земельном участке, в котором будет осуществляться продажа земельных долей, принадлежащих муниципальному образованию, однако ими должны быть представлены документы, подтверждающие их использование по целевому назначению ( например, сведения об уплате земельного налога или иных платежей за землю, сведения о расходах в связи с обработкой земельного участка и внесением удобрении, проведением посевных работ и др.). Такими документами могут быть справки, выданные в установленном порядке Управлением по работе с отраслями АПК и ЛПХ граждан Администрации Дубенского муниципального района Республики Мордовия.</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2.3.1. Уполномоченный специалист Администрации Кабаевского сельского поселения принимает заявления и передает главе поселения для рассмотрения.</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2.4. В течение тридцати дней администрацией рассматриваются поступившие заявления, и принимается решение о продаже данной земельной доли, подготавливается проект постановления. Подготовленный проект передается Главе поселения для принятия решения о продаже или отказе в предоставления данной земельной доли. Право приобретения данной земельной доли имеют сельскохозяйственная организация или крестьянские (фермерские) хозяйства, использующие земельный участок, находящийся в долевой собственности и обратившиеся в шести месячный срок со дня регистрации права собственности на данную земельную долю за Красинским сельским поселением.</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2.5. Главой поселения, на основании поступивших документов, принимается постановление администрации Кабаевского сельского поселения о продаже земельной доли в соответствии с </w:t>
      </w:r>
      <w:hyperlink xmlns:r="http://schemas.openxmlformats.org/officeDocument/2006/relationships" r:id="docRId7">
        <w:r>
          <w:rPr>
            <w:rFonts w:ascii="Times New Roman" w:hAnsi="Times New Roman" w:cs="Times New Roman" w:eastAsia="Times New Roman"/>
            <w:color w:val="auto"/>
            <w:spacing w:val="0"/>
            <w:position w:val="0"/>
            <w:sz w:val="26"/>
            <w:shd w:fill="auto" w:val="clear"/>
          </w:rPr>
          <w:t xml:space="preserve">пунктом 4 статьи 12</w:t>
        </w:r>
      </w:hyperlink>
      <w:r>
        <w:rPr>
          <w:rFonts w:ascii="Times New Roman" w:hAnsi="Times New Roman" w:cs="Times New Roman" w:eastAsia="Times New Roman"/>
          <w:color w:val="auto"/>
          <w:spacing w:val="0"/>
          <w:position w:val="0"/>
          <w:sz w:val="26"/>
          <w:shd w:fill="auto" w:val="clear"/>
        </w:rPr>
        <w:t xml:space="preserve"> Федерального закона от 24 июля 2002 года N 101-ФЗ «Об обороте земель сельскохозяйственного назначения».</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2.6. В случае предоставления земельной доли на основании постановления администрации Кабаевского сельского поселения подготавливается договор купли-продажи земельной доли.</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2.7. Готовое постановление администрации сельского поселения с договором купли - продажи земельной доли передается заинтересованному лицу лично под роспись или отправляется по почте с уведомлением в недельный срок с момента принятия соответствующего решения. Передача земельной доли покупателю осуществляется по акту приема-передачи после оплаты цены земельной доли. При не подписании покупателем договора купли-продажи земельной доли в десятидневный срок с момента его получения, а также в случае неоплаты покупателем цены земельной доли в течение 30 дней с момента подписания договора купли-продажи Администрация сельского поселения вправе принять решение об отмене решения о продаже земельной доли.</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2.8. Государственная регистрация права на земельную долю осуществляется в соответствии с </w:t>
      </w:r>
      <w:hyperlink xmlns:r="http://schemas.openxmlformats.org/officeDocument/2006/relationships" r:id="docRId8">
        <w:r>
          <w:rPr>
            <w:rFonts w:ascii="Times New Roman" w:hAnsi="Times New Roman" w:cs="Times New Roman" w:eastAsia="Times New Roman"/>
            <w:color w:val="auto"/>
            <w:spacing w:val="0"/>
            <w:position w:val="0"/>
            <w:sz w:val="26"/>
            <w:shd w:fill="auto" w:val="clear"/>
          </w:rPr>
          <w:t xml:space="preserve">Федеральным законом</w:t>
        </w:r>
      </w:hyperlink>
      <w:r>
        <w:rPr>
          <w:rFonts w:ascii="Times New Roman" w:hAnsi="Times New Roman" w:cs="Times New Roman" w:eastAsia="Times New Roman"/>
          <w:color w:val="auto"/>
          <w:spacing w:val="0"/>
          <w:position w:val="0"/>
          <w:sz w:val="26"/>
          <w:shd w:fill="auto" w:val="clear"/>
        </w:rPr>
        <w:t xml:space="preserve"> от 21 июля 1997 года N 122-ФЗ «О государственной регистрации прав на недвижимое имущество и сделок с ним».</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2.9. В случае отказа в предоставлении земельной доли, администрацией в недельный срок подготавливается письменный ответ заявителю об отказе в предоставлении данной земельной доли с обоснованием причин и направляется с уведомлением по почте или вручается лично под роспись.</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2.10. Если после истечении шести месяцев с момента государственной регистрации права муниципальной собственности на данную земельную долю, при условии надлежащего информирования, в администрацию Кабаевского сельского поселения не поступило заявление от использующих земельный участок из земель сельскохозяйственного назначения сельскохозяйственной организации и крестьянских (фермерских) хозяйств и договор купли-продажи не заключен, администрация Кабаевского сельского поселения в течение года, с момента возникновения права муниципальной собственности на данную земельную долю, обязана выделить земельный участок, в счет принадлежащих ей земельной доли или земельных долей, при условии не нарушения при этом требований к образуемым земельным участкам.</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3.1. Администрация Кабаевского сельского поселения, в собственности которого находится земельный участок, выделенный в счет земельных долей, находящихся в муниципальной собственности, не позднее чем в течение двух недель со дня возникновения права муниципальной собственности на такой земельный участок обязана опубликовать в информационном бюллетене и разместить на своем официальном сайте в информационно-коммуникационной сети «Интернет» информацию о возможности приобретения такого земельного участка. Указанная информация размещается также на информационных щитах, расположенных на территории Кабаевского сельского поселения.</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3.2. Земельный участок, находящийся в муниципальной собственности Кабаевского сельского поселения и выделенный в счет земельных долей, находящихся в муниципальной собственности Кабаевского сельского поселения, передается использующим такой земельный участок сельскохозяйственной организации или крестьянскому (фермерскому) хозяйству в собственность или аренду без проведения торгов в случае, если сельскохозяйственная организация или крестьянское (фермерское) хозяйство обратились в орган местного самоуправления с заявлением о заключении договора купли-продажи или договора аренды такого земельного участка в течение трех месяцев с момента государственной регистрации права муниципальной собственности на такой земельный участок. При этом цена такого земельного участка устанавливается в размере не более 15 процентов его кадастровой стоимости, а арендная плата - в размере 0,3 процента его кадастровой стоимости.</w:t>
      </w:r>
    </w:p>
    <w:p>
      <w:pPr>
        <w:widowControl w:val="false"/>
        <w:spacing w:before="0" w:after="0" w:line="290"/>
        <w:ind w:right="0" w:left="0" w:firstLine="547"/>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3.3. Земельные участки из земель сельскохозяйственного назначения, находящиеся в государственной или муниципальной собственности, предоставляются в аренду на срок до пяти лет крестьянским (фермерским) хозяйствам, сельскохозяйственным организациям, участвующим в программах государственной поддержки в сфере развития сельского хозяйства, для ведения сельского хозяйства или осуществления иной связанной с сельскохозяйственным производством деятельности без проведения торгов.</w:t>
      </w:r>
    </w:p>
    <w:p>
      <w:pPr>
        <w:spacing w:before="0" w:after="0" w:line="290"/>
        <w:ind w:right="0" w:left="0" w:firstLine="547"/>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В случае, если в орган исполнительной власти или орган местного самоуправления, уполномоченные на распоряжение земельными участками из земель сельскохозяйственного назначения, поступило несколько заявлений о предоставлении такого земельного участка в аренду, соответствующий земельный участок предоставляется в порядке, установленном </w:t>
      </w:r>
      <w:hyperlink xmlns:r="http://schemas.openxmlformats.org/officeDocument/2006/relationships" r:id="docRId9">
        <w:r>
          <w:rPr>
            <w:rFonts w:ascii="Times New Roman" w:hAnsi="Times New Roman" w:cs="Times New Roman" w:eastAsia="Times New Roman"/>
            <w:color w:val="auto"/>
            <w:spacing w:val="0"/>
            <w:position w:val="0"/>
            <w:sz w:val="26"/>
            <w:shd w:fill="auto" w:val="clear"/>
          </w:rPr>
          <w:t xml:space="preserve">статьей 39.18</w:t>
        </w:r>
      </w:hyperlink>
      <w:r>
        <w:rPr>
          <w:rFonts w:ascii="Times New Roman" w:hAnsi="Times New Roman" w:cs="Times New Roman" w:eastAsia="Times New Roman"/>
          <w:color w:val="auto"/>
          <w:spacing w:val="0"/>
          <w:position w:val="0"/>
          <w:sz w:val="26"/>
          <w:shd w:fill="auto" w:val="clear"/>
        </w:rPr>
        <w:t xml:space="preserve"> Земельного кодекса Российской Федерации.</w:t>
      </w:r>
    </w:p>
    <w:p>
      <w:pPr>
        <w:widowControl w:val="false"/>
        <w:spacing w:before="0" w:after="0" w:line="240"/>
        <w:ind w:right="0" w:left="0" w:firstLine="720"/>
        <w:jc w:val="both"/>
        <w:rPr>
          <w:rFonts w:ascii="Times New Roman" w:hAnsi="Times New Roman" w:cs="Times New Roman" w:eastAsia="Times New Roman"/>
          <w:color w:val="auto"/>
          <w:spacing w:val="0"/>
          <w:position w:val="0"/>
          <w:sz w:val="26"/>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8"/>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l" Id="docRId3" Type="http://schemas.openxmlformats.org/officeDocument/2006/relationships/hyperlink"/><Relationship TargetMode="External" Target="http://internet.garant.ru/document?id=12027542&amp;sub=1204" Id="docRId7" Type="http://schemas.openxmlformats.org/officeDocument/2006/relationships/hyperlink"/><Relationship TargetMode="External" Target="http://internet.garant.ru/document?id=12024624&amp;sub=0" Id="docRId0" Type="http://schemas.openxmlformats.org/officeDocument/2006/relationships/hyperlink"/><Relationship Target="numbering.xml" Id="docRId10" Type="http://schemas.openxmlformats.org/officeDocument/2006/relationships/numbering"/><Relationship TargetMode="External" Target="http://internet.garant.ru/document?id=12027542&amp;sub=0" Id="docRId2" Type="http://schemas.openxmlformats.org/officeDocument/2006/relationships/hyperlink"/><Relationship TargetMode="External" Target="http://internet.garant.ru/document?id=12024624&amp;sub=0" Id="docRId4" Type="http://schemas.openxmlformats.org/officeDocument/2006/relationships/hyperlink"/><Relationship TargetMode="External" Target="http://internet.garant.ru/document?id=12027542&amp;sub=0" Id="docRId6" Type="http://schemas.openxmlformats.org/officeDocument/2006/relationships/hyperlink"/><Relationship TargetMode="External" Target="http://internet.garant.ru/document?id=11801341&amp;sub=0" Id="docRId8" Type="http://schemas.openxmlformats.org/officeDocument/2006/relationships/hyperlink"/><Relationship TargetMode="External" Target="http://internet.garant.ru/document?id=12024625&amp;sub=0" Id="docRId1" Type="http://schemas.openxmlformats.org/officeDocument/2006/relationships/hyperlink"/><Relationship Target="styles.xml" Id="docRId11" Type="http://schemas.openxmlformats.org/officeDocument/2006/relationships/styles"/><Relationship TargetMode="External" Target="http://internet.garant.ru/document?id=12024625&amp;sub=0" Id="docRId5" Type="http://schemas.openxmlformats.org/officeDocument/2006/relationships/hyperlink"/><Relationship TargetMode="External" Target="http://www.consultant.ru/document/cons_doc_LAW_33773/8cd3ea875db975f48519e74e77245e032b9a8ff9/" Id="docRId9" Type="http://schemas.openxmlformats.org/officeDocument/2006/relationships/hyperlink"/></Relationships>
</file>