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="280" w:after="280"/>
        <w:jc w:val="center"/>
        <w:rPr/>
      </w:pPr>
      <w:r>
        <w:rPr>
          <w:rStyle w:val="Style11"/>
          <w:b/>
          <w:i w:val="false"/>
          <w:sz w:val="28"/>
          <w:szCs w:val="28"/>
        </w:rPr>
        <w:t>С 1 февраля проиндексир</w:t>
      </w:r>
      <w:r>
        <w:rPr>
          <w:rStyle w:val="Style11"/>
          <w:b/>
          <w:i w:val="false"/>
          <w:sz w:val="28"/>
          <w:szCs w:val="28"/>
        </w:rPr>
        <w:t xml:space="preserve">овались </w:t>
      </w:r>
      <w:r>
        <w:rPr>
          <w:rStyle w:val="Style11"/>
          <w:b/>
          <w:i w:val="false"/>
          <w:sz w:val="28"/>
          <w:szCs w:val="28"/>
        </w:rPr>
        <w:t xml:space="preserve"> ежемесячные денежные выплаты федеральным льготникам</w:t>
      </w:r>
    </w:p>
    <w:p>
      <w:pPr>
        <w:pStyle w:val="NormalWeb"/>
        <w:jc w:val="both"/>
        <w:rPr/>
      </w:pPr>
      <w:r>
        <w:rPr>
          <w:rStyle w:val="Style11"/>
          <w:i w:val="false"/>
          <w:sz w:val="28"/>
          <w:szCs w:val="28"/>
        </w:rPr>
        <w:tab/>
        <w:t xml:space="preserve">УПФР в Атяшевском муниципальном районе Республики Мордовия (межрайонное) </w:t>
      </w:r>
      <w:r>
        <w:rPr>
          <w:rStyle w:val="Style11"/>
          <w:i w:val="false"/>
          <w:sz w:val="28"/>
          <w:szCs w:val="28"/>
        </w:rPr>
        <w:t xml:space="preserve"> осуществляет ряд социальных выплат федеральным льготникам. Одна из них - ежемесячная денежная выплата (ЕДВ). С 1 февраля ее размер </w:t>
      </w:r>
      <w:bookmarkStart w:id="0" w:name="__DdeLink__11_1589126572"/>
      <w:r>
        <w:rPr>
          <w:rStyle w:val="Style11"/>
          <w:i w:val="false"/>
          <w:sz w:val="28"/>
          <w:szCs w:val="28"/>
        </w:rPr>
        <w:t>проиндексирован</w:t>
      </w:r>
      <w:bookmarkEnd w:id="0"/>
      <w:r>
        <w:rPr>
          <w:rStyle w:val="Style11"/>
          <w:i w:val="false"/>
          <w:sz w:val="28"/>
          <w:szCs w:val="28"/>
        </w:rPr>
        <w:t xml:space="preserve"> на 4,3%. </w:t>
      </w:r>
    </w:p>
    <w:p>
      <w:pPr>
        <w:pStyle w:val="NormalWeb"/>
        <w:jc w:val="both"/>
        <w:rPr/>
      </w:pPr>
      <w:r>
        <w:rPr>
          <w:rStyle w:val="Style11"/>
          <w:i w:val="false"/>
          <w:sz w:val="28"/>
          <w:szCs w:val="28"/>
        </w:rPr>
        <w:tab/>
        <w:t>Напомним, что п</w:t>
      </w:r>
      <w:r>
        <w:rPr>
          <w:sz w:val="28"/>
          <w:szCs w:val="28"/>
        </w:rPr>
        <w:t>раво на ежемесячную денежную выплату из федерального бюджета имеют такие категории граждан, как инвалиды и участники Великой 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бывшие несовершеннолетние узники концлагерей, инвалиды, вследствие общего заболевания, включая детей-инвалидов. К федеральным льготникам также относятся лица, работающие либо проживающие в зонах радиоактивного загрязнения.  Сумма индексации у каждого индивидуальна.</w:t>
      </w:r>
    </w:p>
    <w:p>
      <w:pPr>
        <w:pStyle w:val="NormalWeb"/>
        <w:jc w:val="both"/>
        <w:rPr/>
      </w:pPr>
      <w:r>
        <w:rPr>
          <w:sz w:val="28"/>
          <w:szCs w:val="28"/>
        </w:rPr>
        <w:tab/>
        <w:t xml:space="preserve">Также на 4,3 процента </w:t>
      </w:r>
      <w:r>
        <w:rPr>
          <w:rStyle w:val="Style11"/>
          <w:i w:val="false"/>
          <w:sz w:val="28"/>
          <w:szCs w:val="28"/>
        </w:rPr>
        <w:t>проиндексирован</w:t>
      </w:r>
      <w:r>
        <w:rPr>
          <w:sz w:val="28"/>
          <w:szCs w:val="28"/>
        </w:rPr>
        <w:t xml:space="preserve">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</w:t>
      </w:r>
      <w:r>
        <w:rPr>
          <w:sz w:val="28"/>
          <w:szCs w:val="28"/>
        </w:rPr>
        <w:t>ос</w:t>
      </w:r>
      <w:r>
        <w:rPr>
          <w:sz w:val="28"/>
          <w:szCs w:val="28"/>
        </w:rPr>
        <w:t xml:space="preserve"> до 1121,42 рубля в месяц. Он включает в себя предоставление лекарственных препаратов, медицинских изделий, продуктов лечебного питания – 863,75 рубля, предоставление путевки на санаторно-курортное лечение для профилактики основных заболеваний – 133,62 рубля, бесплатный проезд на пригородном железнодорожном транспорте или на междугородном транспорте к месту лечения и обратно – 124,05 рубля.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2019-01-31T12:22:00Z</dcterms:created>
  <dc:creator>Царенья Елена Львовна</dc:creator>
  <dc:language>ru-RU</dc:language>
  <cp:lastPrinted>2019-02-14T09:25:01Z</cp:lastPrinted>
  <dcterms:modified xsi:type="dcterms:W3CDTF">2019-02-14T09:25:35Z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