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b/>
          <w:bCs/>
        </w:rPr>
        <w:t xml:space="preserve">                                </w:t>
      </w:r>
      <w:bookmarkStart w:id="0" w:name="__DdeLink__905_1353194552"/>
      <w:r>
        <w:rPr>
          <w:b/>
          <w:bCs/>
        </w:rPr>
        <w:t>Получение пенсии по номинальному счёту</w:t>
      </w:r>
      <w:bookmarkEnd w:id="0"/>
      <w:r>
        <w:rPr/>
        <w:br/>
        <w:br/>
        <w:t xml:space="preserve"> </w:t>
        <w:tab/>
        <w:t>УПФР в Атяшевском муниципальном районе Республики Мордовия (межрайонное) напоминает об особенностях выплаты пенсии несовершеннолетним и недееспособным пенсионерам.</w:t>
        <w:br/>
        <w:t>Законный представитель несовершеннолетнего или недееспособного гражданина (родитель, опекун, попечитель) вправе выбрать любой предусмотренный законом способ доставки пенсии своего подопечного: через организацию почтовой связи, финансово-кредитное учреждение.</w:t>
        <w:br/>
        <w:t>Особенностью доставки пенсии несовершеннолетних, недееспособных пенсионеров является то, что право на пенсию имеет сам пенсионер, при этом доставку пенсии возможно производить как на имя самого недееспособного, несовершеннолетнего гражданина, так и его законного представителя. Соответственно, счет в кредитной организации для зачисления пенсии может быть открыт как на имя пенсионера, так и на имя законного представителя. Однако, если законный представитель изъявит желание, чтобы пенсия подопечного доставлялась на его счет, то этот счет должен быть номинальным.</w:t>
        <w:br/>
        <w:t>Номинальный счет удобен в использовании: для снятия с него денежных средств, принадлежащих подопечному, не требуется разрешение органов опеки и попечительства. Если исполнительный лист на взыскание сумм задолженности поступил в отношении законного представителя, то списание средств с номинального счета не производится. Приостановление операций по номинальному счету, арест или списание денежных средств, находящихся на номинальном счете, по обязательствам законного представителя также не допускается.</w:t>
        <w:br/>
        <w:t xml:space="preserve">В настоящее время номинальные счета открываются во всех отделениях ПАО «Сбербанк России», АО «Россельхозбанк», АККСБ «КС БАНК» ( ОАО 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2019-02-04T13:25:12Z</dcterms:created>
  <dc:language>ru-RU</dc:language>
  <dcterms:modified xsi:type="dcterms:W3CDTF">2019-03-12T11:10:48Z</dcterms:modified>
  <cp:revision>3</cp:revision>
</cp:coreProperties>
</file>