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bookmarkStart w:id="0" w:name="__DdeLink__1153_1353194552"/>
      <w:r>
        <w:rPr/>
        <w:t>В каждом регионе РФ установлен свой размер прожиточного минимума пенсионера</w:t>
      </w:r>
      <w:bookmarkEnd w:id="0"/>
      <w:r>
        <w:rPr/>
        <w:t xml:space="preserve">. Узнать его можно на сайте ПФР: </w:t>
      </w:r>
      <w:hyperlink r:id="rId2">
        <w:r>
          <w:rPr>
            <w:rStyle w:val="Style11"/>
          </w:rPr>
          <w:t>http://www.pfrf.ru/grazdanam/pensionres/soc_doplata/</w:t>
        </w:r>
      </w:hyperlink>
      <w:r>
        <w:rPr/>
        <w:t xml:space="preserve">. </w:t>
        <w:br/>
        <w:br/>
      </w:r>
      <w:hyperlink r:id="rId3">
        <w:r>
          <w:rPr>
            <w:rStyle w:val="Style11"/>
          </w:rPr>
          <w:t>#ПФР</w:t>
        </w:r>
      </w:hyperlink>
      <w:r>
        <w:rPr/>
        <w:t xml:space="preserve"> </w:t>
      </w:r>
      <w:hyperlink r:id="rId4">
        <w:r>
          <w:rPr>
            <w:rStyle w:val="Style11"/>
          </w:rPr>
          <w:t>#пенсионныйфонд</w:t>
        </w:r>
      </w:hyperlink>
      <w:r>
        <w:rPr/>
        <w:t xml:space="preserve"> </w:t>
      </w:r>
      <w:hyperlink r:id="rId5">
        <w:r>
          <w:rPr>
            <w:rStyle w:val="Style11"/>
          </w:rPr>
          <w:t>#вопросответ</w:t>
        </w:r>
      </w:hyperlink>
      <w:r>
        <w:rPr/>
        <w:t xml:space="preserve"> </w:t>
      </w:r>
      <w:hyperlink r:id="rId6">
        <w:r>
          <w:rPr>
            <w:rStyle w:val="Style11"/>
          </w:rPr>
          <w:t>#прожиточныйминимум</w:t>
        </w:r>
      </w:hyperlink>
      <w:r>
        <w:rPr/>
        <w:t xml:space="preserve"> </w:t>
      </w:r>
      <w:hyperlink r:id="rId7">
        <w:r>
          <w:rPr>
            <w:rStyle w:val="Style11"/>
          </w:rPr>
          <w:t>#пенсия</w:t>
        </w:r>
      </w:hyperlink>
    </w:p>
    <w:p>
      <w:pPr>
        <w:pStyle w:val="Normal"/>
        <w:rPr/>
      </w:pPr>
      <w:r>
        <w:rPr/>
        <w:drawing>
          <wp:anchor behindDoc="0" distT="0" distB="0" distL="0" distR="0" simplePos="0" locked="0" layoutInCell="1" allowOverlap="1" relativeHeight="2">
            <wp:simplePos x="0" y="0"/>
            <wp:positionH relativeFrom="column">
              <wp:posOffset>88900</wp:posOffset>
            </wp:positionH>
            <wp:positionV relativeFrom="paragraph">
              <wp:posOffset>169545</wp:posOffset>
            </wp:positionV>
            <wp:extent cx="1503680" cy="1503680"/>
            <wp:effectExtent l="0" t="0" r="0" b="0"/>
            <wp:wrapSquare wrapText="largest"/>
            <wp:docPr id="1"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5" descr=""/>
                    <pic:cNvPicPr>
                      <a:picLocks noChangeAspect="1" noChangeArrowheads="1"/>
                    </pic:cNvPicPr>
                  </pic:nvPicPr>
                  <pic:blipFill>
                    <a:blip r:embed="rId8"/>
                    <a:stretch>
                      <a:fillRect/>
                    </a:stretch>
                  </pic:blipFill>
                  <pic:spPr bwMode="auto">
                    <a:xfrm>
                      <a:off x="0" y="0"/>
                      <a:ext cx="1503680" cy="1503680"/>
                    </a:xfrm>
                    <a:prstGeom prst="rect">
                      <a:avLst/>
                    </a:prstGeom>
                  </pic:spPr>
                </pic:pic>
              </a:graphicData>
            </a:graphic>
          </wp:anchor>
        </w:drawing>
        <w:drawing>
          <wp:anchor behindDoc="0" distT="0" distB="0" distL="0" distR="0" simplePos="0" locked="0" layoutInCell="1" allowOverlap="1" relativeHeight="3">
            <wp:simplePos x="0" y="0"/>
            <wp:positionH relativeFrom="column">
              <wp:posOffset>2160905</wp:posOffset>
            </wp:positionH>
            <wp:positionV relativeFrom="paragraph">
              <wp:posOffset>160020</wp:posOffset>
            </wp:positionV>
            <wp:extent cx="1475105" cy="1475105"/>
            <wp:effectExtent l="0" t="0" r="0" b="0"/>
            <wp:wrapSquare wrapText="largest"/>
            <wp:docPr id="2" name="Изображение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6" descr=""/>
                    <pic:cNvPicPr>
                      <a:picLocks noChangeAspect="1" noChangeArrowheads="1"/>
                    </pic:cNvPicPr>
                  </pic:nvPicPr>
                  <pic:blipFill>
                    <a:blip r:embed="rId9"/>
                    <a:stretch>
                      <a:fillRect/>
                    </a:stretch>
                  </pic:blipFill>
                  <pic:spPr bwMode="auto">
                    <a:xfrm>
                      <a:off x="0" y="0"/>
                      <a:ext cx="1475105" cy="147510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1"/>
        <w:numPr>
          <w:ilvl w:val="0"/>
          <w:numId w:val="1"/>
        </w:numPr>
        <w:rPr/>
      </w:pPr>
      <w:r>
        <w:rPr/>
        <w:t>Социальная доплата до уровня прожиточного минимума пенсионера</w:t>
      </w:r>
    </w:p>
    <w:p>
      <w:pPr>
        <w:sectPr>
          <w:type w:val="nextPage"/>
          <w:pgSz w:w="11906" w:h="16838"/>
          <w:pgMar w:left="1134" w:right="1134" w:header="0" w:top="1134" w:footer="0" w:bottom="1134" w:gutter="0"/>
          <w:pgNumType w:fmt="decimal"/>
          <w:formProt w:val="false"/>
          <w:textDirection w:val="lrTb"/>
          <w:docGrid w:type="default" w:linePitch="240" w:charSpace="4294961151"/>
        </w:sectPr>
      </w:pPr>
    </w:p>
    <w:p>
      <w:pPr>
        <w:pStyle w:val="Style14"/>
        <w:jc w:val="both"/>
        <w:rPr/>
      </w:pPr>
      <w:r>
        <w:rPr/>
        <w:tab/>
        <w:t>Всем неработающим пенсионерам, у которых общая сумма материального обеспечения не достигает величины прожиточного минимума пенсионера (ПМП) в регионе его проживания, устанавливается федеральная или региональная социальная доплата к пенсии до величины ПМП, установленной в регионе проживания пенсионера.</w:t>
      </w:r>
    </w:p>
    <w:p>
      <w:pPr>
        <w:pStyle w:val="Style14"/>
        <w:jc w:val="both"/>
        <w:rPr/>
      </w:pPr>
      <w:r>
        <w:rPr/>
        <w:t>Федеральная социальная доплата выплачивается территориальным органами ПФР и устанавливается в случае, если общая сумма денежных выплат неработающему пенсионеру не достигает величины прожиточного минимума пенсионера, установленной в регионе проживания, которая, в свою очередь, не достигает величины прожиточного минимума пенсионера в целом по Российской Федерации.</w:t>
      </w:r>
    </w:p>
    <w:p>
      <w:pPr>
        <w:pStyle w:val="Style14"/>
        <w:jc w:val="both"/>
        <w:rPr/>
      </w:pPr>
      <w:r>
        <w:rPr/>
        <w:t>Региональная социальная доплата выплачивается органами социальной защиты региона в случае, если прожиточный минимум пенсионера в субъекте РФ выше, чем аналогичный показатель по Российской Федерации, а общая сумма денежных выплат неработающему пенсионеру ниже регионального ПМП.</w:t>
      </w:r>
    </w:p>
    <w:p>
      <w:pPr>
        <w:pStyle w:val="Style14"/>
        <w:jc w:val="both"/>
        <w:rPr/>
      </w:pPr>
      <w:r>
        <w:rPr/>
        <w:t>При подсчете общей суммы материального обеспечения неработающего пенсионера учитываются суммы следующих денежных выплат:</w:t>
      </w:r>
    </w:p>
    <w:p>
      <w:pPr>
        <w:pStyle w:val="Style14"/>
        <w:numPr>
          <w:ilvl w:val="0"/>
          <w:numId w:val="2"/>
        </w:numPr>
        <w:tabs>
          <w:tab w:val="left" w:pos="0" w:leader="none"/>
        </w:tabs>
        <w:spacing w:before="0" w:after="0"/>
        <w:jc w:val="both"/>
        <w:rPr/>
      </w:pPr>
      <w:r>
        <w:rPr/>
        <w:t xml:space="preserve">пенсий, в том числе в случае отказа пенсионера от получения указанных пенсий; </w:t>
      </w:r>
    </w:p>
    <w:p>
      <w:pPr>
        <w:pStyle w:val="Style14"/>
        <w:numPr>
          <w:ilvl w:val="0"/>
          <w:numId w:val="2"/>
        </w:numPr>
        <w:tabs>
          <w:tab w:val="left" w:pos="0" w:leader="none"/>
        </w:tabs>
        <w:spacing w:before="0" w:after="0"/>
        <w:jc w:val="both"/>
        <w:rPr/>
      </w:pPr>
      <w:r>
        <w:rPr/>
        <w:t xml:space="preserve">дополнительного материального (социального) обеспечения; </w:t>
      </w:r>
    </w:p>
    <w:p>
      <w:pPr>
        <w:pStyle w:val="Style14"/>
        <w:numPr>
          <w:ilvl w:val="0"/>
          <w:numId w:val="2"/>
        </w:numPr>
        <w:tabs>
          <w:tab w:val="left" w:pos="0" w:leader="none"/>
        </w:tabs>
        <w:spacing w:before="0" w:after="0"/>
        <w:jc w:val="both"/>
        <w:rPr/>
      </w:pPr>
      <w:r>
        <w:rPr/>
        <w:t xml:space="preserve">ежемесячной денежной выплаты (включая стоимость набора социальных услуг); </w:t>
      </w:r>
    </w:p>
    <w:p>
      <w:pPr>
        <w:pStyle w:val="Style14"/>
        <w:numPr>
          <w:ilvl w:val="0"/>
          <w:numId w:val="2"/>
        </w:numPr>
        <w:tabs>
          <w:tab w:val="left" w:pos="0" w:leader="none"/>
        </w:tabs>
        <w:jc w:val="both"/>
        <w:rPr/>
      </w:pPr>
      <w:r>
        <w:rPr/>
        <w:t>иных мер социальной поддержки, установленных законодательством субъектов РФ в денежном выражении (за исключением мер социальной поддержки, предоставляемых единовременно). Кроме того,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 жилых помещений и коммунальных услуг, проезда на всех видах пассажирского транспорта, а также денежные компенсации расходов по оплате этих услуг.</w:t>
      </w:r>
    </w:p>
    <w:p>
      <w:pPr>
        <w:sectPr>
          <w:type w:val="continuous"/>
          <w:pgSz w:w="11906" w:h="16838"/>
          <w:pgMar w:left="1134" w:right="1134" w:header="0" w:top="1134" w:footer="0" w:bottom="1134" w:gutter="0"/>
          <w:formProt w:val="false"/>
          <w:textDirection w:val="lrTb"/>
          <w:docGrid w:type="default" w:linePitch="240" w:charSpace="4294961151"/>
        </w:sectPr>
      </w:pPr>
    </w:p>
    <w:tbl>
      <w:tblPr>
        <w:tblW w:w="8186" w:type="dxa"/>
        <w:jc w:val="left"/>
        <w:tblInd w:w="28" w:type="dxa"/>
        <w:tblBorders/>
        <w:tblCellMar>
          <w:top w:w="28" w:type="dxa"/>
          <w:left w:w="28" w:type="dxa"/>
          <w:bottom w:w="28" w:type="dxa"/>
          <w:right w:w="28" w:type="dxa"/>
        </w:tblCellMar>
        <w:tblLook w:val="04a0"/>
      </w:tblPr>
      <w:tblGrid>
        <w:gridCol w:w="2806"/>
        <w:gridCol w:w="646"/>
        <w:gridCol w:w="4079"/>
        <w:gridCol w:w="654"/>
      </w:tblGrid>
      <w:tr>
        <w:trPr/>
        <w:tc>
          <w:tcPr>
            <w:tcW w:w="8185" w:type="dxa"/>
            <w:gridSpan w:val="4"/>
            <w:tcBorders/>
            <w:shd w:color="auto" w:fill="auto" w:val="clear"/>
            <w:vAlign w:val="center"/>
          </w:tcPr>
          <w:p>
            <w:pPr>
              <w:pStyle w:val="Style21"/>
              <w:jc w:val="both"/>
              <w:rPr/>
            </w:pPr>
            <w:r>
              <w:rPr>
                <w:rStyle w:val="Style12"/>
              </w:rPr>
              <w:t>Приволжский федеральный округ</w:t>
            </w:r>
          </w:p>
        </w:tc>
      </w:tr>
      <w:tr>
        <w:trPr/>
        <w:tc>
          <w:tcPr>
            <w:tcW w:w="2806" w:type="dxa"/>
            <w:tcBorders/>
            <w:shd w:color="auto" w:fill="auto" w:val="clear"/>
            <w:vAlign w:val="center"/>
          </w:tcPr>
          <w:p>
            <w:pPr>
              <w:pStyle w:val="Style21"/>
              <w:jc w:val="both"/>
              <w:rPr/>
            </w:pPr>
            <w:r>
              <w:rPr/>
              <w:t>Республика Башкортостан</w:t>
            </w:r>
          </w:p>
        </w:tc>
        <w:tc>
          <w:tcPr>
            <w:tcW w:w="646" w:type="dxa"/>
            <w:tcBorders/>
            <w:shd w:color="auto" w:fill="auto" w:val="clear"/>
            <w:vAlign w:val="center"/>
          </w:tcPr>
          <w:p>
            <w:pPr>
              <w:pStyle w:val="Style21"/>
              <w:jc w:val="both"/>
              <w:rPr/>
            </w:pPr>
            <w:r>
              <w:rPr/>
              <w:t>8 645</w:t>
            </w:r>
          </w:p>
        </w:tc>
        <w:tc>
          <w:tcPr>
            <w:tcW w:w="4079" w:type="dxa"/>
            <w:tcBorders/>
            <w:shd w:color="auto" w:fill="auto" w:val="clear"/>
            <w:vAlign w:val="center"/>
          </w:tcPr>
          <w:p>
            <w:pPr>
              <w:pStyle w:val="Style21"/>
              <w:jc w:val="both"/>
              <w:rPr/>
            </w:pPr>
            <w:r>
              <w:rPr/>
              <w:t>Закон от 29.10.2018 № 1-з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Республика Марий Эл</w:t>
            </w:r>
          </w:p>
        </w:tc>
        <w:tc>
          <w:tcPr>
            <w:tcW w:w="646" w:type="dxa"/>
            <w:tcBorders/>
            <w:shd w:color="auto" w:fill="auto" w:val="clear"/>
            <w:vAlign w:val="center"/>
          </w:tcPr>
          <w:p>
            <w:pPr>
              <w:pStyle w:val="Style21"/>
              <w:jc w:val="both"/>
              <w:rPr/>
            </w:pPr>
            <w:r>
              <w:rPr/>
              <w:t>8 191</w:t>
            </w:r>
          </w:p>
        </w:tc>
        <w:tc>
          <w:tcPr>
            <w:tcW w:w="4079" w:type="dxa"/>
            <w:tcBorders/>
            <w:shd w:color="auto" w:fill="auto" w:val="clear"/>
            <w:vAlign w:val="center"/>
          </w:tcPr>
          <w:p>
            <w:pPr>
              <w:pStyle w:val="Style21"/>
              <w:jc w:val="both"/>
              <w:rPr/>
            </w:pPr>
            <w:r>
              <w:rPr/>
              <w:t>Закон от 01.11.2018 № 53-З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Республика Мордовия</w:t>
            </w:r>
          </w:p>
        </w:tc>
        <w:tc>
          <w:tcPr>
            <w:tcW w:w="646" w:type="dxa"/>
            <w:tcBorders/>
            <w:shd w:color="auto" w:fill="auto" w:val="clear"/>
            <w:vAlign w:val="center"/>
          </w:tcPr>
          <w:p>
            <w:pPr>
              <w:pStyle w:val="Style21"/>
              <w:jc w:val="both"/>
              <w:rPr/>
            </w:pPr>
            <w:r>
              <w:rPr/>
              <w:t>8 522</w:t>
            </w:r>
          </w:p>
        </w:tc>
        <w:tc>
          <w:tcPr>
            <w:tcW w:w="4079" w:type="dxa"/>
            <w:tcBorders/>
            <w:shd w:color="auto" w:fill="auto" w:val="clear"/>
            <w:vAlign w:val="center"/>
          </w:tcPr>
          <w:p>
            <w:pPr>
              <w:pStyle w:val="Style21"/>
              <w:jc w:val="both"/>
              <w:rPr/>
            </w:pPr>
            <w:r>
              <w:rPr/>
              <w:t>Закон от 31.10.2018 № 80-З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Республика Татарстан</w:t>
            </w:r>
          </w:p>
        </w:tc>
        <w:tc>
          <w:tcPr>
            <w:tcW w:w="646" w:type="dxa"/>
            <w:tcBorders/>
            <w:shd w:color="auto" w:fill="auto" w:val="clear"/>
            <w:vAlign w:val="center"/>
          </w:tcPr>
          <w:p>
            <w:pPr>
              <w:pStyle w:val="Style21"/>
              <w:jc w:val="both"/>
              <w:rPr/>
            </w:pPr>
            <w:r>
              <w:rPr/>
              <w:t>8 232</w:t>
            </w:r>
          </w:p>
        </w:tc>
        <w:tc>
          <w:tcPr>
            <w:tcW w:w="4079" w:type="dxa"/>
            <w:tcBorders/>
            <w:shd w:color="auto" w:fill="auto" w:val="clear"/>
            <w:vAlign w:val="center"/>
          </w:tcPr>
          <w:p>
            <w:pPr>
              <w:pStyle w:val="Style21"/>
              <w:jc w:val="both"/>
              <w:rPr/>
            </w:pPr>
            <w:r>
              <w:rPr/>
              <w:t>Закон от 25.09.2018 № 50-ЗРТ</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Удмуртская Республика</w:t>
            </w:r>
          </w:p>
        </w:tc>
        <w:tc>
          <w:tcPr>
            <w:tcW w:w="646" w:type="dxa"/>
            <w:tcBorders/>
            <w:shd w:color="auto" w:fill="auto" w:val="clear"/>
            <w:vAlign w:val="center"/>
          </w:tcPr>
          <w:p>
            <w:pPr>
              <w:pStyle w:val="Style21"/>
              <w:jc w:val="both"/>
              <w:rPr/>
            </w:pPr>
            <w:r>
              <w:rPr/>
              <w:t>8 502</w:t>
            </w:r>
          </w:p>
        </w:tc>
        <w:tc>
          <w:tcPr>
            <w:tcW w:w="4079" w:type="dxa"/>
            <w:tcBorders/>
            <w:shd w:color="auto" w:fill="auto" w:val="clear"/>
            <w:vAlign w:val="center"/>
          </w:tcPr>
          <w:p>
            <w:pPr>
              <w:pStyle w:val="Style21"/>
              <w:jc w:val="both"/>
              <w:rPr/>
            </w:pPr>
            <w:r>
              <w:rPr/>
              <w:t>Закон от 28.09.2018 № 52-РЗ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Чувашская Республика</w:t>
            </w:r>
          </w:p>
        </w:tc>
        <w:tc>
          <w:tcPr>
            <w:tcW w:w="646" w:type="dxa"/>
            <w:tcBorders/>
            <w:shd w:color="auto" w:fill="auto" w:val="clear"/>
            <w:vAlign w:val="center"/>
          </w:tcPr>
          <w:p>
            <w:pPr>
              <w:pStyle w:val="Style21"/>
              <w:jc w:val="both"/>
              <w:rPr/>
            </w:pPr>
            <w:r>
              <w:rPr/>
              <w:t>7 953</w:t>
            </w:r>
          </w:p>
        </w:tc>
        <w:tc>
          <w:tcPr>
            <w:tcW w:w="4079" w:type="dxa"/>
            <w:tcBorders/>
            <w:shd w:color="auto" w:fill="auto" w:val="clear"/>
            <w:vAlign w:val="center"/>
          </w:tcPr>
          <w:p>
            <w:pPr>
              <w:pStyle w:val="Style21"/>
              <w:jc w:val="both"/>
              <w:rPr/>
            </w:pPr>
            <w:r>
              <w:rPr/>
              <w:t>Закон от 19.10.2018 № 65</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Кировская область</w:t>
            </w:r>
          </w:p>
        </w:tc>
        <w:tc>
          <w:tcPr>
            <w:tcW w:w="646" w:type="dxa"/>
            <w:tcBorders/>
            <w:shd w:color="auto" w:fill="auto" w:val="clear"/>
            <w:vAlign w:val="center"/>
          </w:tcPr>
          <w:p>
            <w:pPr>
              <w:pStyle w:val="Style21"/>
              <w:jc w:val="both"/>
              <w:rPr/>
            </w:pPr>
            <w:r>
              <w:rPr/>
              <w:t>8 474</w:t>
            </w:r>
          </w:p>
        </w:tc>
        <w:tc>
          <w:tcPr>
            <w:tcW w:w="4079" w:type="dxa"/>
            <w:tcBorders/>
            <w:shd w:color="auto" w:fill="auto" w:val="clear"/>
            <w:vAlign w:val="center"/>
          </w:tcPr>
          <w:p>
            <w:pPr>
              <w:pStyle w:val="Style21"/>
              <w:jc w:val="both"/>
              <w:rPr/>
            </w:pPr>
            <w:r>
              <w:rPr/>
              <w:t>Закон от 27.09.2018 № 182-ЗО</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Нижегородская область</w:t>
            </w:r>
          </w:p>
        </w:tc>
        <w:tc>
          <w:tcPr>
            <w:tcW w:w="646" w:type="dxa"/>
            <w:tcBorders/>
            <w:shd w:color="auto" w:fill="auto" w:val="clear"/>
            <w:vAlign w:val="center"/>
          </w:tcPr>
          <w:p>
            <w:pPr>
              <w:pStyle w:val="Style21"/>
              <w:jc w:val="both"/>
              <w:rPr/>
            </w:pPr>
            <w:r>
              <w:rPr/>
              <w:t>8 102</w:t>
            </w:r>
          </w:p>
        </w:tc>
        <w:tc>
          <w:tcPr>
            <w:tcW w:w="4079" w:type="dxa"/>
            <w:tcBorders/>
            <w:shd w:color="auto" w:fill="auto" w:val="clear"/>
            <w:vAlign w:val="center"/>
          </w:tcPr>
          <w:p>
            <w:pPr>
              <w:pStyle w:val="Style21"/>
              <w:jc w:val="both"/>
              <w:rPr/>
            </w:pPr>
            <w:r>
              <w:rPr/>
              <w:t>Закон от 02.10.2018 № 88-з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Оренбургская область</w:t>
            </w:r>
          </w:p>
        </w:tc>
        <w:tc>
          <w:tcPr>
            <w:tcW w:w="646" w:type="dxa"/>
            <w:tcBorders/>
            <w:shd w:color="auto" w:fill="auto" w:val="clear"/>
            <w:vAlign w:val="center"/>
          </w:tcPr>
          <w:p>
            <w:pPr>
              <w:pStyle w:val="Style21"/>
              <w:jc w:val="both"/>
              <w:rPr/>
            </w:pPr>
            <w:r>
              <w:rPr/>
              <w:t>8 252</w:t>
            </w:r>
          </w:p>
        </w:tc>
        <w:tc>
          <w:tcPr>
            <w:tcW w:w="4079" w:type="dxa"/>
            <w:tcBorders/>
            <w:shd w:color="auto" w:fill="auto" w:val="clear"/>
            <w:vAlign w:val="center"/>
          </w:tcPr>
          <w:p>
            <w:pPr>
              <w:pStyle w:val="Style21"/>
              <w:jc w:val="both"/>
              <w:rPr/>
            </w:pPr>
            <w:r>
              <w:rPr/>
              <w:t>Закон от 25.10.2018 № 1284/344-VI-ОЗ</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Пензенская область</w:t>
            </w:r>
          </w:p>
        </w:tc>
        <w:tc>
          <w:tcPr>
            <w:tcW w:w="646" w:type="dxa"/>
            <w:tcBorders/>
            <w:shd w:color="auto" w:fill="auto" w:val="clear"/>
            <w:vAlign w:val="center"/>
          </w:tcPr>
          <w:p>
            <w:pPr>
              <w:pStyle w:val="Style21"/>
              <w:jc w:val="both"/>
              <w:rPr/>
            </w:pPr>
            <w:r>
              <w:rPr/>
              <w:t>8 404</w:t>
            </w:r>
          </w:p>
        </w:tc>
        <w:tc>
          <w:tcPr>
            <w:tcW w:w="4079" w:type="dxa"/>
            <w:tcBorders/>
            <w:shd w:color="auto" w:fill="auto" w:val="clear"/>
            <w:vAlign w:val="center"/>
          </w:tcPr>
          <w:p>
            <w:pPr>
              <w:pStyle w:val="Style21"/>
              <w:jc w:val="both"/>
              <w:rPr/>
            </w:pPr>
            <w:r>
              <w:rPr/>
              <w:t>Закон от 25.09.2018 № 3243-ЗПО</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Пермский край</w:t>
            </w:r>
          </w:p>
        </w:tc>
        <w:tc>
          <w:tcPr>
            <w:tcW w:w="646" w:type="dxa"/>
            <w:tcBorders/>
            <w:shd w:color="auto" w:fill="auto" w:val="clear"/>
            <w:vAlign w:val="center"/>
          </w:tcPr>
          <w:p>
            <w:pPr>
              <w:pStyle w:val="Style21"/>
              <w:jc w:val="both"/>
              <w:rPr/>
            </w:pPr>
            <w:r>
              <w:rPr/>
              <w:t>8 539</w:t>
            </w:r>
          </w:p>
        </w:tc>
        <w:tc>
          <w:tcPr>
            <w:tcW w:w="4079" w:type="dxa"/>
            <w:tcBorders/>
            <w:shd w:color="auto" w:fill="auto" w:val="clear"/>
            <w:vAlign w:val="center"/>
          </w:tcPr>
          <w:p>
            <w:pPr>
              <w:pStyle w:val="Style21"/>
              <w:jc w:val="both"/>
              <w:rPr/>
            </w:pPr>
            <w:r>
              <w:rPr/>
              <w:t>Закон от 01.11.2018 № 299-ПК</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Самарская область</w:t>
            </w:r>
          </w:p>
        </w:tc>
        <w:tc>
          <w:tcPr>
            <w:tcW w:w="646" w:type="dxa"/>
            <w:tcBorders/>
            <w:shd w:color="auto" w:fill="auto" w:val="clear"/>
            <w:vAlign w:val="center"/>
          </w:tcPr>
          <w:p>
            <w:pPr>
              <w:pStyle w:val="Style21"/>
              <w:jc w:val="both"/>
              <w:rPr/>
            </w:pPr>
            <w:r>
              <w:rPr/>
              <w:t>8 413</w:t>
            </w:r>
          </w:p>
        </w:tc>
        <w:tc>
          <w:tcPr>
            <w:tcW w:w="4079" w:type="dxa"/>
            <w:tcBorders/>
            <w:shd w:color="auto" w:fill="auto" w:val="clear"/>
            <w:vAlign w:val="center"/>
          </w:tcPr>
          <w:p>
            <w:pPr>
              <w:pStyle w:val="Style21"/>
              <w:jc w:val="both"/>
              <w:rPr/>
            </w:pPr>
            <w:r>
              <w:rPr/>
              <w:t>Закон от 31.10.2018 № 85-ГД</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Саратовская область</w:t>
            </w:r>
          </w:p>
        </w:tc>
        <w:tc>
          <w:tcPr>
            <w:tcW w:w="646" w:type="dxa"/>
            <w:tcBorders/>
            <w:shd w:color="auto" w:fill="auto" w:val="clear"/>
            <w:vAlign w:val="center"/>
          </w:tcPr>
          <w:p>
            <w:pPr>
              <w:pStyle w:val="Style21"/>
              <w:jc w:val="both"/>
              <w:rPr/>
            </w:pPr>
            <w:r>
              <w:rPr/>
              <w:t>8 278</w:t>
            </w:r>
          </w:p>
        </w:tc>
        <w:tc>
          <w:tcPr>
            <w:tcW w:w="4079" w:type="dxa"/>
            <w:tcBorders/>
            <w:shd w:color="auto" w:fill="auto" w:val="clear"/>
            <w:vAlign w:val="center"/>
          </w:tcPr>
          <w:p>
            <w:pPr>
              <w:pStyle w:val="Style21"/>
              <w:jc w:val="both"/>
              <w:rPr/>
            </w:pPr>
            <w:r>
              <w:rPr/>
              <w:t>Закон от 26.10.2018 № 99-ЗСО</w:t>
            </w:r>
          </w:p>
        </w:tc>
        <w:tc>
          <w:tcPr>
            <w:tcW w:w="654" w:type="dxa"/>
            <w:tcBorders/>
            <w:shd w:color="auto" w:fill="auto" w:val="clear"/>
            <w:vAlign w:val="center"/>
          </w:tcPr>
          <w:p>
            <w:pPr>
              <w:pStyle w:val="Style21"/>
              <w:jc w:val="both"/>
              <w:rPr/>
            </w:pPr>
            <w:r>
              <w:rPr/>
              <w:t>ФСД</w:t>
            </w:r>
          </w:p>
        </w:tc>
      </w:tr>
      <w:tr>
        <w:trPr/>
        <w:tc>
          <w:tcPr>
            <w:tcW w:w="2806" w:type="dxa"/>
            <w:tcBorders/>
            <w:shd w:color="auto" w:fill="auto" w:val="clear"/>
            <w:vAlign w:val="center"/>
          </w:tcPr>
          <w:p>
            <w:pPr>
              <w:pStyle w:val="Style21"/>
              <w:jc w:val="both"/>
              <w:rPr/>
            </w:pPr>
            <w:r>
              <w:rPr/>
              <w:t>Ульяновскя область</w:t>
            </w:r>
          </w:p>
        </w:tc>
        <w:tc>
          <w:tcPr>
            <w:tcW w:w="646" w:type="dxa"/>
            <w:tcBorders/>
            <w:shd w:color="auto" w:fill="auto" w:val="clear"/>
            <w:vAlign w:val="center"/>
          </w:tcPr>
          <w:p>
            <w:pPr>
              <w:pStyle w:val="Style21"/>
              <w:jc w:val="both"/>
              <w:rPr/>
            </w:pPr>
            <w:r>
              <w:rPr/>
              <w:t>8 474</w:t>
            </w:r>
          </w:p>
        </w:tc>
        <w:tc>
          <w:tcPr>
            <w:tcW w:w="4079" w:type="dxa"/>
            <w:tcBorders/>
            <w:shd w:color="auto" w:fill="auto" w:val="clear"/>
            <w:vAlign w:val="center"/>
          </w:tcPr>
          <w:p>
            <w:pPr>
              <w:pStyle w:val="Style21"/>
              <w:jc w:val="both"/>
              <w:rPr/>
            </w:pPr>
            <w:r>
              <w:rPr/>
              <w:t>Закон от 29.10.2018 № 110-ЗО</w:t>
            </w:r>
          </w:p>
        </w:tc>
        <w:tc>
          <w:tcPr>
            <w:tcW w:w="654" w:type="dxa"/>
            <w:tcBorders/>
            <w:shd w:color="auto" w:fill="auto" w:val="clear"/>
            <w:vAlign w:val="center"/>
          </w:tcPr>
          <w:p>
            <w:pPr>
              <w:pStyle w:val="Style21"/>
              <w:jc w:val="both"/>
              <w:rPr/>
            </w:pPr>
            <w:r>
              <w:rPr/>
              <w:t>ФСД</w:t>
            </w:r>
          </w:p>
        </w:tc>
      </w:tr>
    </w:tbl>
    <w:p>
      <w:pPr>
        <w:pStyle w:val="Normal"/>
        <w:jc w:val="both"/>
        <w:rPr/>
      </w:pPr>
      <w:r>
        <w:rPr/>
      </w:r>
    </w:p>
    <w:sectPr>
      <w:type w:val="continuous"/>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Интернет-ссылка"/>
    <w:rPr>
      <w:color w:val="000080"/>
      <w:u w:val="single"/>
    </w:rPr>
  </w:style>
  <w:style w:type="character" w:styleId="ListLabel3">
    <w:name w:val="ListLabel 3"/>
    <w:qFormat/>
    <w:rPr>
      <w:rFonts w:cs="OpenSymbol"/>
    </w:rPr>
  </w:style>
  <w:style w:type="character" w:styleId="Style12">
    <w:name w:val="Выделение жирным"/>
    <w:rPr>
      <w:b/>
      <w:bCs/>
    </w:rPr>
  </w:style>
  <w:style w:type="character" w:styleId="ListLabel4">
    <w:name w:val="ListLabel 4"/>
    <w:qFormat/>
    <w:rPr>
      <w:rFonts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 w:type="paragraph" w:styleId="Style21">
    <w:name w:val="Содержимое таблицы"/>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grazdanam%2Fpensionres%2Fsoc_doplata%2F&amp;post=-86141808_2509&amp;cc_key=" TargetMode="External"/><Relationship Id="rId3" Type="http://schemas.openxmlformats.org/officeDocument/2006/relationships/hyperlink" Target="https://vk.com/feed?section=search&amp;q=%23&#1055;&#1060;&#1056;" TargetMode="External"/><Relationship Id="rId4" Type="http://schemas.openxmlformats.org/officeDocument/2006/relationships/hyperlink" Target="https://vk.com/feed?section=search&amp;q=%23&#1087;&#1077;&#1085;&#1089;&#1080;&#1086;&#1085;&#1085;&#1099;&#1081;&#1092;&#1086;&#1085;&#1076;" TargetMode="External"/><Relationship Id="rId5" Type="http://schemas.openxmlformats.org/officeDocument/2006/relationships/hyperlink" Target="https://vk.com/feed?section=search&amp;q=%23&#1074;&#1086;&#1087;&#1088;&#1086;&#1089;&#1086;&#1090;&#1074;&#1077;&#1090;" TargetMode="External"/><Relationship Id="rId6" Type="http://schemas.openxmlformats.org/officeDocument/2006/relationships/hyperlink" Target="https://vk.com/feed?section=search&amp;q=%23&#1087;&#1088;&#1086;&#1078;&#1080;&#1090;&#1086;&#1095;&#1085;&#1099;&#1081;&#1084;&#1080;&#1085;&#1080;&#1084;&#1091;&#1084;" TargetMode="External"/><Relationship Id="rId7" Type="http://schemas.openxmlformats.org/officeDocument/2006/relationships/hyperlink" Target="https://vk.com/feed?section=search&amp;q=%23&#1087;&#1077;&#1085;&#1089;&#1080;&#1103;"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2019-02-04T14:00:25Z</dcterms:created>
  <dc:language>ru-RU</dc:language>
  <dcterms:modified xsi:type="dcterms:W3CDTF">2019-03-12T10:20:25Z</dcterms:modified>
  <cp:revision>2</cp:revision>
</cp:coreProperties>
</file>