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after="150" w:before="300" w:line="100" w:lineRule="atLeast"/>
      </w:pPr>
      <w:r>
        <w:rPr>
          <w:color w:val="333333"/>
          <w:sz w:val="28"/>
          <w:b/>
          <w:szCs w:val="28"/>
          <w:rFonts w:ascii="Times New Roman" w:cs="Helvetica" w:eastAsia="Times New Roman" w:hAnsi="Times New Roman"/>
        </w:rPr>
        <w:t>Предоставление мер социальной поддержки среди граждан, родивших второго и (или) последующих детей (Ипотека под 6% годовых)</w:t>
      </w:r>
    </w:p>
    <w:p>
      <w:pPr>
        <w:pStyle w:val="style0"/>
        <w:spacing w:after="0" w:before="0" w:line="100" w:lineRule="atLeast"/>
      </w:pPr>
      <w:r>
        <w:rPr/>
      </w:r>
    </w:p>
    <w:tbl>
      <w:tblPr>
        <w:tblBorders>
          <w:top w:color="00000A" w:space="0" w:sz="2" w:val="double"/>
          <w:left w:color="00000A" w:space="0" w:sz="2" w:val="double"/>
          <w:bottom w:color="00000A" w:space="0" w:sz="2" w:val="double"/>
          <w:right w:color="00000A" w:space="0" w:sz="2" w:val="double"/>
        </w:tblBorders>
        <w:jc w:val="left"/>
        <w:tblInd w:type="dxa" w:w="-122"/>
      </w:tblPr>
      <w:tblGrid>
        <w:gridCol w:w="3045"/>
        <w:gridCol w:w="5758"/>
      </w:tblGrid>
      <w:tr>
        <w:trPr>
          <w:cantSplit w:val="off"/>
        </w:trPr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3045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Кто может принять участие?         </w:t>
            </w:r>
          </w:p>
        </w:tc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5758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Гражданин Российской Федерации при рождении него, начиная с 1 января 2018 года второго ребенка (или) последующих детей, являющихся гражданами Российской Федерации</w:t>
            </w:r>
          </w:p>
        </w:tc>
      </w:tr>
      <w:tr>
        <w:trPr>
          <w:cantSplit w:val="off"/>
        </w:trPr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3045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Срок действия льготной ставки?</w:t>
            </w:r>
          </w:p>
        </w:tc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5758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В течение всего срока действия кредитного договора (договора займа)</w:t>
            </w:r>
          </w:p>
        </w:tc>
      </w:tr>
      <w:tr>
        <w:trPr>
          <w:cantSplit w:val="off"/>
        </w:trPr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3045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Условия программы?                   </w:t>
            </w:r>
          </w:p>
        </w:tc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5758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numPr>
                <w:ilvl w:val="0"/>
                <w:numId w:val="2"/>
              </w:numPr>
              <w:spacing w:after="28" w:before="28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приобретение жилого помещения на первичном рынке жилья;</w:t>
            </w:r>
          </w:p>
          <w:p>
            <w:pPr>
              <w:pStyle w:val="style0"/>
              <w:numPr>
                <w:ilvl w:val="0"/>
                <w:numId w:val="2"/>
              </w:numPr>
              <w:spacing w:after="28" w:before="28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кредитный договор (договор займа) заключен начиная с 1 января 2018 года или дополнительное соглашение о рефинансировании заключено начиная с 1 августа 2018 года;</w:t>
            </w:r>
          </w:p>
          <w:p>
            <w:pPr>
              <w:pStyle w:val="style0"/>
              <w:numPr>
                <w:ilvl w:val="0"/>
                <w:numId w:val="2"/>
              </w:numPr>
              <w:spacing w:after="28" w:before="28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заемщик оплачивает за счет собственных средств в том числе полученных из федерального бюджета (включая средства материнского (семейного) капитала), не менее 20% стоимости приобретаемого жилого помещения (первоначальный взнос);</w:t>
            </w:r>
          </w:p>
          <w:p>
            <w:pPr>
              <w:pStyle w:val="style0"/>
              <w:numPr>
                <w:ilvl w:val="0"/>
                <w:numId w:val="2"/>
              </w:numPr>
              <w:spacing w:after="28" w:before="28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при условии заключения заемщиком договоров личного страхования жизни, страхования от несчастного случая и болезни) и страхования жилого помещения после оформления права собственности на такое жилое помещение </w:t>
            </w:r>
          </w:p>
        </w:tc>
      </w:tr>
      <w:tr>
        <w:trPr>
          <w:cantSplit w:val="off"/>
        </w:trPr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3045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Где можно получить подробную информацию об условиях кредитования?</w:t>
            </w:r>
          </w:p>
        </w:tc>
        <w:tc>
          <w:tcPr>
            <w:tcBorders>
              <w:top w:color="00000A" w:space="0" w:sz="2" w:val="double"/>
              <w:left w:color="00000A" w:space="0" w:sz="2" w:val="double"/>
              <w:bottom w:color="00000A" w:space="0" w:sz="2" w:val="double"/>
              <w:right w:color="00000A" w:space="0" w:sz="2" w:val="double"/>
            </w:tcBorders>
            <w:shd w:fill="FFFFFF"/>
            <w:tcW w:type="dxa" w:w="5758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spacing w:after="150" w:before="0" w:line="100" w:lineRule="atLeast"/>
            </w:pPr>
            <w:r>
              <w:rPr>
                <w:color w:val="333333"/>
                <w:sz w:val="21"/>
                <w:szCs w:val="21"/>
                <w:rFonts w:ascii="Times New Roman" w:cs="Helvetica" w:eastAsia="Times New Roman" w:hAnsi="Times New Roman"/>
              </w:rPr>
              <w:t>Непосредственно в кредитных организациях: ПАО «Сбербанк», Саранский филиал банк «Возрождение» (ПАО), АКБ «Актив Банк» (ПАО), «Газпромбанк (АО) «Приволжский», АО «Россельхозбанк» (после 10 июля 2019 года), ВТБ (ПАО), АО «Банк ДОМ.РФ.</w:t>
            </w:r>
          </w:p>
        </w:tc>
      </w:tr>
    </w:tbl>
    <w:p>
      <w:pPr>
        <w:pStyle w:val="style0"/>
        <w:spacing w:after="150" w:before="0" w:line="100" w:lineRule="atLeast"/>
      </w:pPr>
      <w:r>
        <w:rPr/>
      </w:r>
    </w:p>
    <w:p>
      <w:pPr>
        <w:pStyle w:val="style0"/>
      </w:pPr>
      <w:r>
        <w:rPr/>
      </w:r>
    </w:p>
    <w:p>
      <w:pPr>
        <w:pStyle w:val="style0"/>
        <w:jc w:val="left"/>
        <w:widowControl/>
        <w:tabs>
          <w:tab w:leader="none" w:pos="709" w:val="left"/>
        </w:tabs>
        <w:suppressAutoHyphens w:val="true"/>
        <w:spacing w:after="200" w:before="0" w:line="276" w:lineRule="atLeast"/>
      </w:pPr>
      <w:r>
        <w:rPr/>
      </w:r>
    </w:p>
    <w:sectPr>
      <w:formProt w:val="off"/>
      <w:pgSz w:h="16837" w:w="11905"/>
      <w:textDirection w:val="lrTb"/>
      <w:pgNumType w:fmt="decimal"/>
      <w:type w:val="nextPage"/>
      <w:pgMar w:bottom="1134" w:left="1701" w:right="850" w:top="1134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lvlJc w:val="left"/>
      <w:lvlText w:val=""/>
      <w:pPr>
        <w:ind w:hanging="432" w:left="432"/>
      </w:pPr>
    </w:lvl>
    <w:lvl w:ilvl="1">
      <w:start w:val="1"/>
      <w:numFmt w:val="none"/>
      <w:lvlJc w:val="left"/>
      <w:lvlText w:val=""/>
      <w:pPr>
        <w:ind w:hanging="576" w:left="576"/>
      </w:pPr>
    </w:lvl>
    <w:lvl w:ilvl="2">
      <w:start w:val="1"/>
      <w:numFmt w:val="none"/>
      <w:lvlJc w:val="left"/>
      <w:lvlText w:val=""/>
      <w:pPr>
        <w:ind w:hanging="720" w:left="720"/>
      </w:pPr>
    </w:lvl>
    <w:lvl w:ilvl="3">
      <w:start w:val="1"/>
      <w:numFmt w:val="none"/>
      <w:lvlJc w:val="left"/>
      <w:lvlText w:val=""/>
      <w:pPr>
        <w:ind w:hanging="864" w:left="864"/>
      </w:pPr>
    </w:lvl>
    <w:lvl w:ilvl="4">
      <w:start w:val="1"/>
      <w:numFmt w:val="none"/>
      <w:lvlJc w:val="left"/>
      <w:lvlText w:val=""/>
      <w:pPr>
        <w:ind w:hanging="1008" w:left="1008"/>
      </w:pPr>
    </w:lvl>
    <w:lvl w:ilvl="5">
      <w:start w:val="1"/>
      <w:numFmt w:val="none"/>
      <w:lvlJc w:val="left"/>
      <w:lvlText w:val=""/>
      <w:pPr>
        <w:ind w:hanging="1152" w:left="1152"/>
      </w:pPr>
    </w:lvl>
    <w:lvl w:ilvl="6">
      <w:start w:val="1"/>
      <w:numFmt w:val="none"/>
      <w:lvlJc w:val="left"/>
      <w:lvlText w:val=""/>
      <w:pPr>
        <w:ind w:hanging="1296" w:left="1296"/>
      </w:pPr>
    </w:lvl>
    <w:lvl w:ilvl="7">
      <w:start w:val="1"/>
      <w:numFmt w:val="none"/>
      <w:lvlJc w:val="left"/>
      <w:lvlText w:val=""/>
      <w:pPr>
        <w:ind w:hanging="1440" w:left="1440"/>
      </w:pPr>
    </w:lvl>
    <w:lvl w:ilvl="8">
      <w:start w:val="1"/>
      <w:numFmt w:val="none"/>
      <w:lvlJc w:val="left"/>
      <w:lvlText w:val=""/>
      <w:pPr>
        <w:ind w:hanging="1584" w:left="1584"/>
      </w:pPr>
    </w:lvl>
  </w:abstractNum>
  <w:abstractNum w:abstractNumId="2">
    <w:lvl w:ilvl="0">
      <w:start w:val="1"/>
      <w:numFmt w:val="decimal"/>
      <w:lvlJc w:val="left"/>
      <w:lvlText w:val="%1."/>
      <w:pPr>
        <w:ind w:hanging="360" w:left="720"/>
      </w:pPr>
    </w:lvl>
    <w:lvl w:ilvl="1">
      <w:start w:val="1"/>
      <w:numFmt w:val="decimal"/>
      <w:lvlJc w:val="left"/>
      <w:lvlText w:val="%2."/>
      <w:pPr>
        <w:ind w:hanging="360" w:left="1080"/>
      </w:pPr>
    </w:lvl>
    <w:lvl w:ilvl="2">
      <w:start w:val="1"/>
      <w:numFmt w:val="decimal"/>
      <w:lvlJc w:val="left"/>
      <w:lvlText w:val="%3."/>
      <w:pPr>
        <w:ind w:hanging="360" w:left="1440"/>
      </w:pPr>
    </w:lvl>
    <w:lvl w:ilvl="3">
      <w:start w:val="1"/>
      <w:numFmt w:val="decimal"/>
      <w:lvlJc w:val="left"/>
      <w:lvlText w:val="%4."/>
      <w:pPr>
        <w:ind w:hanging="360" w:left="1800"/>
      </w:pPr>
    </w:lvl>
    <w:lvl w:ilvl="4">
      <w:start w:val="1"/>
      <w:numFmt w:val="decimal"/>
      <w:lvlJc w:val="left"/>
      <w:lvlText w:val="%5."/>
      <w:pPr>
        <w:ind w:hanging="360" w:left="2160"/>
      </w:pPr>
    </w:lvl>
    <w:lvl w:ilvl="5">
      <w:start w:val="1"/>
      <w:numFmt w:val="decimal"/>
      <w:lvlJc w:val="left"/>
      <w:lvlText w:val="%6."/>
      <w:pPr>
        <w:ind w:hanging="360" w:left="2520"/>
      </w:pPr>
    </w:lvl>
    <w:lvl w:ilvl="6">
      <w:start w:val="1"/>
      <w:numFmt w:val="decimal"/>
      <w:lvlJc w:val="left"/>
      <w:lvlText w:val="%7."/>
      <w:pPr>
        <w:ind w:hanging="360" w:left="2880"/>
      </w:pPr>
    </w:lvl>
    <w:lvl w:ilvl="7">
      <w:start w:val="1"/>
      <w:numFmt w:val="decimal"/>
      <w:lvlJc w:val="left"/>
      <w:lvlText w:val="%8."/>
      <w:pPr>
        <w:ind w:hanging="360" w:left="3240"/>
      </w:pPr>
    </w:lvl>
    <w:lvl w:ilvl="8">
      <w:start w:val="1"/>
      <w:numFmt w:val="decimal"/>
      <w:lvlJc w:val="left"/>
      <w:lvlText w:val="%9."/>
      <w:pPr>
        <w:ind w:hanging="360" w:left="3600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jc w:val="left"/>
      <w:widowControl/>
      <w:tabs>
        <w:tab w:leader="none" w:pos="709" w:val="left"/>
      </w:tabs>
      <w:suppressAutoHyphens w:val="true"/>
      <w:spacing w:after="200" w:before="0" w:line="276" w:lineRule="atLeast"/>
    </w:pPr>
    <w:rPr>
      <w:color w:val="00000A"/>
      <w:sz w:val="22"/>
      <w:szCs w:val="22"/>
      <w:rFonts w:ascii="Calibri" w:cs="" w:eastAsia="Lucida Sans Unicode" w:hAnsi="Calibri"/>
      <w:lang w:bidi="ar-SA" w:eastAsia="ru-RU" w:val="ru-RU"/>
    </w:rPr>
  </w:style>
  <w:style w:styleId="style1" w:type="paragraph">
    <w:name w:val="Заголовок 1"/>
    <w:basedOn w:val="style0"/>
    <w:next w:val="style19"/>
    <w:pPr>
      <w:outlineLvl w:val="0"/>
      <w:numPr>
        <w:ilvl w:val="0"/>
        <w:numId w:val="1"/>
      </w:numPr>
      <w:spacing w:after="28" w:before="28" w:line="100" w:lineRule="atLeast"/>
    </w:pPr>
    <w:rPr>
      <w:sz w:val="48"/>
      <w:b/>
      <w:szCs w:val="48"/>
      <w:bCs/>
      <w:rFonts w:ascii="Times New Roman" w:cs="Times New Roman" w:eastAsia="Times New Roman" w:hAnsi="Times New Roman"/>
    </w:rPr>
  </w:style>
  <w:style w:styleId="style15" w:type="character">
    <w:name w:val="Default Paragraph Font"/>
    <w:next w:val="style15"/>
    <w:rPr/>
  </w:style>
  <w:style w:styleId="style16" w:type="character">
    <w:name w:val="Заголовок 1 Знак"/>
    <w:basedOn w:val="style15"/>
    <w:next w:val="style16"/>
    <w:rPr/>
  </w:style>
  <w:style w:styleId="style17" w:type="character">
    <w:name w:val="Текст выноски Знак"/>
    <w:basedOn w:val="style15"/>
    <w:next w:val="style17"/>
    <w:rPr/>
  </w:style>
  <w:style w:styleId="style18" w:type="paragraph">
    <w:name w:val="Заголовок"/>
    <w:basedOn w:val="style0"/>
    <w:next w:val="style19"/>
    <w:pPr>
      <w:keepNext/>
      <w:spacing w:after="120" w:before="240"/>
    </w:pPr>
    <w:rPr>
      <w:sz w:val="28"/>
      <w:szCs w:val="28"/>
      <w:rFonts w:ascii="Arial" w:cs="Tahoma" w:eastAsia="Lucida Sans Unicode" w:hAnsi="Arial"/>
    </w:rPr>
  </w:style>
  <w:style w:styleId="style19" w:type="paragraph">
    <w:name w:val="Основной текст"/>
    <w:basedOn w:val="style0"/>
    <w:next w:val="style19"/>
    <w:pPr>
      <w:spacing w:after="120" w:before="0"/>
    </w:pPr>
    <w:rPr/>
  </w:style>
  <w:style w:styleId="style20" w:type="paragraph">
    <w:name w:val="Список"/>
    <w:basedOn w:val="style19"/>
    <w:next w:val="style20"/>
    <w:pPr/>
    <w:rPr>
      <w:rFonts w:cs="Tahoma"/>
    </w:rPr>
  </w:style>
  <w:style w:styleId="style21" w:type="paragraph">
    <w:name w:val="Название"/>
    <w:basedOn w:val="style0"/>
    <w:next w:val="style21"/>
    <w:pPr>
      <w:suppressLineNumbers/>
      <w:spacing w:after="120" w:before="120"/>
    </w:pPr>
    <w:rPr>
      <w:sz w:val="24"/>
      <w:i/>
      <w:szCs w:val="24"/>
      <w:iCs/>
      <w:rFonts w:cs="Tahoma"/>
    </w:rPr>
  </w:style>
  <w:style w:styleId="style22" w:type="paragraph">
    <w:name w:val="Указатель"/>
    <w:basedOn w:val="style0"/>
    <w:next w:val="style22"/>
    <w:pPr>
      <w:suppressLineNumbers/>
    </w:pPr>
    <w:rPr>
      <w:rFonts w:cs="Tahoma"/>
    </w:rPr>
  </w:style>
  <w:style w:styleId="style23" w:type="paragraph">
    <w:name w:val="Normal (Web)"/>
    <w:basedOn w:val="style0"/>
    <w:next w:val="style23"/>
    <w:pPr/>
    <w:rPr/>
  </w:style>
  <w:style w:styleId="style24" w:type="paragraph">
    <w:name w:val="Balloon Text"/>
    <w:basedOn w:val="style0"/>
    <w:next w:val="style24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2019-07-12T10:34:00.00Z</dcterms:created>
  <dc:creator>Пользователь</dc:creator>
  <cp:lastModifiedBy>Пользователь</cp:lastModifiedBy>
  <dcterms:modified xsi:type="dcterms:W3CDTF">2019-07-12T10:36:00.00Z</dcterms:modified>
  <cp:revision>2</cp:revision>
</cp:coreProperties>
</file>