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spacing w:before="240" w:after="120"/>
        <w:jc w:val="center"/>
        <w:outlineLvl w:val="0"/>
        <w:rPr/>
      </w:pPr>
      <w:r>
        <w:rPr>
          <w:rStyle w:val="Style11"/>
          <w:sz w:val="28"/>
          <w:szCs w:val="28"/>
          <w:lang w:val="ru-RU"/>
        </w:rPr>
        <w:t>В</w:t>
      </w:r>
      <w:r>
        <w:rPr>
          <w:rStyle w:val="Style11"/>
          <w:sz w:val="28"/>
          <w:szCs w:val="28"/>
        </w:rPr>
        <w:t xml:space="preserve"> 2021 году можно  </w:t>
      </w:r>
      <w:r>
        <w:rPr>
          <w:rStyle w:val="Style11"/>
          <w:sz w:val="28"/>
          <w:szCs w:val="28"/>
          <w:lang w:val="ru-RU"/>
        </w:rPr>
        <w:t>п</w:t>
      </w:r>
      <w:r>
        <w:rPr>
          <w:rStyle w:val="Style11"/>
          <w:sz w:val="28"/>
          <w:szCs w:val="28"/>
        </w:rPr>
        <w:t>ерейти на электронный формат трудовой книжки .</w:t>
      </w:r>
    </w:p>
    <w:p>
      <w:pPr>
        <w:pStyle w:val="Style13"/>
        <w:jc w:val="both"/>
        <w:rPr/>
      </w:pPr>
      <w:r>
        <w:rPr>
          <w:sz w:val="28"/>
          <w:szCs w:val="28"/>
        </w:rPr>
        <w:tab/>
        <w:t xml:space="preserve">1245 работающих </w:t>
      </w:r>
      <w:r>
        <w:rPr>
          <w:sz w:val="28"/>
          <w:szCs w:val="28"/>
          <w:lang w:val="ru-RU"/>
        </w:rPr>
        <w:t xml:space="preserve">граждан </w:t>
      </w:r>
      <w:r>
        <w:rPr>
          <w:sz w:val="28"/>
          <w:szCs w:val="28"/>
        </w:rPr>
        <w:t xml:space="preserve">выбрали электронную трудовую книжку. Такие данные поступили в </w:t>
      </w:r>
      <w:r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>ФР в Атяшевском муниципальном районе Республики Мордовия (межрайонное)</w:t>
      </w:r>
      <w:r>
        <w:rPr>
          <w:sz w:val="28"/>
          <w:szCs w:val="28"/>
        </w:rPr>
        <w:t xml:space="preserve"> в отчетах страхователей.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работников высказалась в пользу бумажного варианта трудовой книжки, однако их число каждый день постепенно уменьшается: люди пользуются возможностью, которая им предоставлена законодательством, перейти на электронный формат и после 2020 г.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Одно из главных преимуществ электронного формата в том, что он практически исключает риск потери работником сведений о своём трудовом стаже. Даже в случае ликвидации работодателя сотрудник может запросить в ПФР сведения о своей трудовой деятельности и получить их.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Электронные книжки удобны с точки зрения организации дистанционной работы, которая особенно актуальна в сегодняшних реалиях на фоне распространения коронавирусной инфекции. В случае дистанционного трудоустройства работодателю можно направить сведения из ЭТК по электронной почте.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для оформления загранпаспорта или ипотеки ЭТК («сведения о трудовой деятельности») можно распечатать прямо из личного кабинета на портале Госуслуг или официальном сайте ПФР, она сразу будет заверена электронной подписью и действительна во всех инстанциях. Там же сотрудник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Напомним, с 1 января 2020 года все работники, у которых уже есть трудовая, получили возможность перейти на электронный формат на добровольной основе. Для людей, впервые устраивающихся на работу в 2021 году, сведения о трудовой деятельности ведутся только в электронном виде.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Если человек так и не написал заявление, то у него остается бумажная трудовая. Люди, выбравшие электронный формат, вернуться к бумажному уже не смогут. Бумажную трудовую они получили на руки и должны хранить ее дома как официальный документ, подтверждающий весь предыдущий стаж.</w:t>
      </w:r>
    </w:p>
    <w:p>
      <w:pPr>
        <w:pStyle w:val="1"/>
        <w:spacing w:before="240" w:after="12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qFormat/>
    <w:pPr>
      <w:spacing w:before="0" w:after="283"/>
    </w:pPr>
    <w:rPr>
      <w:sz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2021-02-25T09:06:12Z</cp:lastPrinted>
  <dcterms:modified xsi:type="dcterms:W3CDTF">2021-02-25T09:06:17Z</dcterms:modified>
  <cp:revision>10</cp:revision>
</cp:coreProperties>
</file>