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ВЫПЛАТА ПЕНСИОННЫХ НАКОПЛЕНИЙ</w:t>
      </w:r>
    </w:p>
    <w:p>
      <w:pPr>
        <w:pStyle w:val="Normal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Вступившие в силу изменения в пенсионном законодательстве не меняют правил назначения и выплаты пенсионных накоплений. Пенсионный возраст, дающий право на их получение, остается в прежних границах – на уровне 55 лет для женщин и 60 лет для мужчин. Это распространяется на все виды выплаты пенсионных накоплений, включая накопительную пенсию, срочную и единовременную выплаты. Как и раньше, пенсионные накопления назначаются при наличии минимально необходимых пенсионных коэффициентов и стажа: в 2020 году это 18,6 коэффициента и 11 лет соответственно.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319905" cy="4319905"/>
            <wp:effectExtent l="0" t="0" r="0" b="0"/>
            <wp:wrapSquare wrapText="largest"/>
            <wp:docPr id="1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4319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2021-02-12T15:39:26Z</dcterms:created>
  <dc:language>ru-RU</dc:language>
  <cp:lastPrinted>2021-02-25T09:10:44Z</cp:lastPrinted>
  <dcterms:modified xsi:type="dcterms:W3CDTF">2021-02-25T09:10:50Z</dcterms:modified>
  <cp:revision>2</cp:revision>
</cp:coreProperties>
</file>