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rStyle w:val="Style11"/>
          <w:rFonts w:ascii="Liberation Sans" w:hAnsi="Liberation Sans"/>
        </w:rPr>
        <w:t>Материнский (семейный) капитал</w:t>
      </w:r>
      <w:r>
        <w:rPr>
          <w:rFonts w:ascii="Liberation Sans" w:hAnsi="Liberation Sans"/>
        </w:rPr>
        <w:t xml:space="preserve">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155 550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639 431 руб. 83 коп в случае, если ранее право на дополнительные меры государственной поддержки семей, имеющих детей, не возникало.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-222250</wp:posOffset>
            </wp:positionH>
            <wp:positionV relativeFrom="paragraph">
              <wp:posOffset>373380</wp:posOffset>
            </wp:positionV>
            <wp:extent cx="3392805" cy="1648460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805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-107315</wp:posOffset>
            </wp:positionH>
            <wp:positionV relativeFrom="paragraph">
              <wp:posOffset>335915</wp:posOffset>
            </wp:positionV>
            <wp:extent cx="3403600" cy="1654175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-37465</wp:posOffset>
            </wp:positionH>
            <wp:positionV relativeFrom="paragraph">
              <wp:posOffset>1976120</wp:posOffset>
            </wp:positionV>
            <wp:extent cx="3275965" cy="1591310"/>
            <wp:effectExtent l="0" t="0" r="0" b="0"/>
            <wp:wrapSquare wrapText="larges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1591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2021-02-25T09:52:27Z</cp:lastPrinted>
  <dcterms:modified xsi:type="dcterms:W3CDTF">2021-02-25T09:52:41Z</dcterms:modified>
  <cp:revision>2</cp:revision>
</cp:coreProperties>
</file>