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8"/>
          <w:szCs w:val="28"/>
        </w:rPr>
      </w:pPr>
      <w:r>
        <w:rPr>
          <w:sz w:val="28"/>
          <w:szCs w:val="28"/>
        </w:rPr>
        <w:t>Родители малышей, родившихся в августе 2020 года, могут получить ежемесячную выплату из материнского капитала сразу за полгода.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ab/>
        <w:t>Если в Вашей семье второй ребенок родился в августе 2020 года, то февраль 2021 года - заключительный месяц, чтобы подать заявление и получать выплату с даты РОЖДЕНИЯ РЕБЕНКА.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Если вы успеете обратиться до исполнения ребенку 6 месяцев, то средства будут выплачены сразу за полгода. Общая сумма при этом составит порядка 85 тысяч рублей.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Если заявление будет представлено позднее, выплату назначат с даты его ПОДАЧИ.</w:t>
      </w:r>
    </w:p>
    <w:p>
      <w:pPr>
        <w:pStyle w:val="Style12"/>
        <w:spacing w:before="0" w:after="12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2021-03-24T14:43:08Z</cp:lastPrinted>
  <dcterms:modified xsi:type="dcterms:W3CDTF">2021-03-24T14:43:13Z</dcterms:modified>
  <cp:revision>6</cp:revision>
</cp:coreProperties>
</file>