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>
          <w:rFonts w:ascii="Times New Roman" w:hAnsi="Times New Roman"/>
          <w:b w:val="false"/>
          <w:b w:val="false"/>
          <w:bCs w:val="false"/>
        </w:rPr>
      </w:pPr>
      <w:bookmarkStart w:id="0" w:name="__DdeLink__563_1133223448"/>
      <w:bookmarkEnd w:id="0"/>
      <w:r>
        <w:rPr>
          <w:rFonts w:ascii="Times New Roman" w:hAnsi="Times New Roman"/>
          <w:b w:val="false"/>
          <w:bCs w:val="false"/>
        </w:rPr>
        <w:t>Школьникам о пенсии на сайте ПФР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lang w:val="ru-RU"/>
        </w:rPr>
        <w:t xml:space="preserve">УПФР в </w:t>
      </w:r>
      <w:r>
        <w:rPr>
          <w:rFonts w:ascii="Times New Roman" w:hAnsi="Times New Roman"/>
          <w:b w:val="false"/>
          <w:bCs w:val="false"/>
          <w:lang w:val="ru-RU"/>
        </w:rPr>
        <w:t>Атяшевском</w:t>
      </w:r>
      <w:r>
        <w:rPr>
          <w:rFonts w:ascii="Times New Roman" w:hAnsi="Times New Roman"/>
          <w:b w:val="false"/>
          <w:bCs w:val="false"/>
          <w:lang w:val="ru-RU"/>
        </w:rPr>
        <w:t xml:space="preserve"> муниципальном районе РМ (межрайонное)</w:t>
      </w:r>
      <w:r>
        <w:rPr>
          <w:rFonts w:ascii="Times New Roman" w:hAnsi="Times New Roman"/>
          <w:b w:val="false"/>
          <w:bCs w:val="false"/>
        </w:rPr>
        <w:t xml:space="preserve"> напоминает, что для подростков на сайте Пенсионного фонда работает </w:t>
      </w:r>
      <w:hyperlink r:id="rId2">
        <w:r>
          <w:rPr>
            <w:rStyle w:val="Style11"/>
            <w:rFonts w:ascii="Times New Roman" w:hAnsi="Times New Roman"/>
            <w:b w:val="false"/>
            <w:bCs w:val="false"/>
          </w:rPr>
          <w:t>интернет-ресурс «Школьникам о пенсии»</w:t>
        </w:r>
      </w:hyperlink>
      <w:r>
        <w:rPr>
          <w:rFonts w:ascii="Times New Roman" w:hAnsi="Times New Roman"/>
          <w:b w:val="false"/>
          <w:bCs w:val="false"/>
        </w:rPr>
        <w:t>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в интересной и увлекательной форме рассказывается о пенсионном обеспечении в нашей стране. Ребята могут наглядно увидеть, как размер пенсии связан с работой, зарплатой, учёбой, рождением детей, службой в армии и другими факторами жизни любого человека. В доступной форме показаны принципы формирования будущей пенсии, формула расчета пенсии. 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несколько тематических разделов: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 пенсии» – представлена пенсионная система России: в картинках рассказано о трёх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«история» – рассказано об истории пенсионного обеспечения в России с древних времен до нашего времени;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«калькулятор» – предложена возможность в несколько кликов в игровой форме рассчитать свою будущую пенсию;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«симулятор» – предлагается ответить на десять вопросов, моделирующих жизненные ситуации, начиная от момента окончания школы и заканчивая выходом на пенсию. Цель анкеты – понять, как нужно поступить в том или ином случае, чтобы пенсионные средства формировались в более высоком размере;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«тест» – предполагается проверка усвоения материала и закрепление навыков: на каждый из десяти вопросов дается три варианта ответа;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«поищем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   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главной странице сайта размещены наиболее интересные цифры и факты, а также предоставлена возможность задать вопрос официальному представителю ПФР в социальной сети «ВКонтакте».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</w:rPr>
        <w:t>Педагоги также могут использовать интернет-ресурс и размещённые на нём материалы для проведения уроков по пенсионной грамотности, которые ежегодно проходят по всей стране с участием специалистов Пенсионного фонда.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ascii="Times New Roman" w:hAnsi="Times New Roman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chool.pfr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2021-08-25T10:39:57Z</dcterms:created>
  <dc:language>ru-RU</dc:language>
  <dcterms:modified xsi:type="dcterms:W3CDTF">2021-09-06T10:29:43Z</dcterms:modified>
  <cp:revision>2</cp:revision>
</cp:coreProperties>
</file>