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0_208309053"/>
      <w:r>
        <w:rPr>
          <w:sz w:val="24"/>
          <w:szCs w:val="24"/>
        </w:rPr>
        <w:t>Для семей, оформляющих кредит на улучшение жилищных условий,</w:t>
      </w:r>
      <w:bookmarkEnd w:id="0"/>
      <w:r>
        <w:rPr>
          <w:sz w:val="24"/>
          <w:szCs w:val="24"/>
        </w:rPr>
        <w:t xml:space="preserve"> упрощена процедура распоряжения материнским капиталом. 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Дубенском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муниципальном районе РМ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 на погашение этого кредита или  на уплату первоначального взноса за счет средств материнского капитала. То есть, посещать ПФР с таким заявлением им уже не нужно.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  Российского Сельскохозяйственного банка, ВТБ Банка, Сбербанка,  Газпромбанка,  Альфа-Банка, Банка «Финансовая Корпорация Открытие», АО "ДОМ.РФ".  Именно с этими кредитными организациями Отделение ПФР заключило соглашение об информационном взаимодействии.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2021-09-14T16:16:27Z</dcterms:created>
  <dc:language>ru-RU</dc:language>
  <dcterms:modified xsi:type="dcterms:W3CDTF">2021-10-11T14:09:25Z</dcterms:modified>
  <cp:revision>4</cp:revision>
</cp:coreProperties>
</file>