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EE6" w:rsidRDefault="00E36B0C" w:rsidP="008E4EE6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Отчет по р</w:t>
      </w:r>
      <w:r w:rsidR="008E4EE6">
        <w:rPr>
          <w:rFonts w:ascii="Times New Roman" w:hAnsi="Times New Roman"/>
          <w:b/>
          <w:sz w:val="28"/>
        </w:rPr>
        <w:t>еализаци</w:t>
      </w:r>
      <w:r>
        <w:rPr>
          <w:rFonts w:ascii="Times New Roman" w:hAnsi="Times New Roman"/>
          <w:b/>
          <w:sz w:val="28"/>
        </w:rPr>
        <w:t>и</w:t>
      </w:r>
      <w:r w:rsidR="008E4EE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П</w:t>
      </w:r>
      <w:r w:rsidR="008E4EE6">
        <w:rPr>
          <w:rFonts w:ascii="Times New Roman" w:hAnsi="Times New Roman"/>
          <w:b/>
          <w:sz w:val="28"/>
        </w:rPr>
        <w:t xml:space="preserve">лана мероприятий («дорожной карты») по содействию развитию конкуренции в муниципальном районе Республики Мордовия и </w:t>
      </w:r>
      <w:proofErr w:type="gramStart"/>
      <w:r w:rsidR="008E4EE6">
        <w:rPr>
          <w:rFonts w:ascii="Times New Roman" w:hAnsi="Times New Roman"/>
          <w:b/>
          <w:sz w:val="28"/>
        </w:rPr>
        <w:t>г</w:t>
      </w:r>
      <w:proofErr w:type="gramEnd"/>
      <w:r w:rsidR="008E4EE6">
        <w:rPr>
          <w:rFonts w:ascii="Times New Roman" w:hAnsi="Times New Roman"/>
          <w:b/>
          <w:sz w:val="28"/>
        </w:rPr>
        <w:t>.о. Саранск»</w:t>
      </w:r>
      <w:r w:rsidR="004250ED">
        <w:rPr>
          <w:rFonts w:ascii="Times New Roman" w:hAnsi="Times New Roman"/>
          <w:b/>
          <w:sz w:val="28"/>
        </w:rPr>
        <w:t xml:space="preserve"> за 2022 год</w:t>
      </w:r>
    </w:p>
    <w:p w:rsidR="008E4EE6" w:rsidRDefault="008E4EE6" w:rsidP="008E4EE6">
      <w:pPr>
        <w:pStyle w:val="a3"/>
        <w:spacing w:after="0" w:line="240" w:lineRule="auto"/>
        <w:ind w:left="0"/>
        <w:rPr>
          <w:rFonts w:ascii="Times New Roman" w:hAnsi="Times New Roman"/>
          <w:b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69"/>
        <w:gridCol w:w="3321"/>
        <w:gridCol w:w="980"/>
        <w:gridCol w:w="971"/>
        <w:gridCol w:w="1060"/>
        <w:gridCol w:w="971"/>
        <w:gridCol w:w="971"/>
        <w:gridCol w:w="986"/>
        <w:gridCol w:w="4680"/>
      </w:tblGrid>
      <w:tr w:rsidR="008E4EE6" w:rsidRPr="001E69AF" w:rsidTr="00185CB2">
        <w:trPr>
          <w:trHeight w:val="930"/>
        </w:trPr>
        <w:tc>
          <w:tcPr>
            <w:tcW w:w="7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№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1E69AF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1E69AF">
              <w:rPr>
                <w:rFonts w:ascii="Times New Roman" w:hAnsi="Times New Roman"/>
              </w:rPr>
              <w:t>/</w:t>
            </w:r>
            <w:proofErr w:type="spellStart"/>
            <w:r w:rsidRPr="001E69AF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Наименование товарного рынка</w:t>
            </w:r>
          </w:p>
        </w:tc>
        <w:tc>
          <w:tcPr>
            <w:tcW w:w="1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2020 г.</w:t>
            </w:r>
          </w:p>
        </w:tc>
        <w:tc>
          <w:tcPr>
            <w:tcW w:w="2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2021 г.</w:t>
            </w:r>
          </w:p>
        </w:tc>
        <w:tc>
          <w:tcPr>
            <w:tcW w:w="1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2022 г.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Отчет о достижении (причины невыполнения)</w:t>
            </w:r>
          </w:p>
        </w:tc>
      </w:tr>
      <w:tr w:rsidR="008E4EE6" w:rsidRPr="001E69AF" w:rsidTr="00185CB2">
        <w:trPr>
          <w:trHeight w:val="607"/>
        </w:trPr>
        <w:tc>
          <w:tcPr>
            <w:tcW w:w="7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план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факт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план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факт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план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факт</w:t>
            </w:r>
          </w:p>
        </w:tc>
        <w:tc>
          <w:tcPr>
            <w:tcW w:w="4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1E69AF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39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1E69AF">
              <w:rPr>
                <w:rFonts w:ascii="Times New Roman" w:hAnsi="Times New Roman"/>
                <w:b/>
              </w:rPr>
              <w:t>Рынок услуг образования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1.1.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Доля детей в возрасте 1-6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1-6 лет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49,1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52,7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50,4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53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pStyle w:val="Default"/>
              <w:ind w:firstLine="459"/>
              <w:contextualSpacing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 w:rsidRPr="001E69AF">
              <w:rPr>
                <w:rFonts w:eastAsia="SimSun" w:cs="Times New Roman"/>
                <w:sz w:val="22"/>
                <w:szCs w:val="22"/>
                <w:lang w:val="ru-RU" w:eastAsia="ru-RU"/>
              </w:rPr>
              <w:t xml:space="preserve">Система дошкольного образования </w:t>
            </w:r>
            <w:r w:rsidRPr="001E69AF">
              <w:rPr>
                <w:rFonts w:cs="Times New Roman"/>
                <w:sz w:val="22"/>
                <w:szCs w:val="22"/>
                <w:lang w:val="ru-RU"/>
              </w:rPr>
              <w:t>в Дубенском муниципальном районе на 01.01.2023 г. представлена 1 дошкольным образовательным учреждениям и 7 структурными подразделениями.</w:t>
            </w:r>
          </w:p>
          <w:p w:rsidR="008E4EE6" w:rsidRPr="001E69AF" w:rsidRDefault="008E4EE6" w:rsidP="00185CB2">
            <w:pPr>
              <w:pStyle w:val="Default"/>
              <w:ind w:firstLine="459"/>
              <w:contextualSpacing/>
              <w:jc w:val="both"/>
              <w:rPr>
                <w:rFonts w:eastAsiaTheme="minorHAnsi" w:cs="Times New Roman"/>
                <w:sz w:val="22"/>
                <w:szCs w:val="22"/>
                <w:lang w:val="ru-RU"/>
              </w:rPr>
            </w:pPr>
            <w:r w:rsidRPr="001E69AF">
              <w:rPr>
                <w:rFonts w:cs="Times New Roman"/>
                <w:sz w:val="22"/>
                <w:szCs w:val="22"/>
                <w:lang w:val="ru-RU"/>
              </w:rPr>
              <w:t xml:space="preserve">Конкурентная среда в сфере дошкольного образования характеризуется доминированием муниципальных образовательных организаций. Численность детей, посещающих образовательные организации, реализующих программы дошкольного образования, составляет 211 детей, в том числе 10 детей ГКП. </w:t>
            </w:r>
          </w:p>
          <w:p w:rsidR="008E4EE6" w:rsidRPr="001E69AF" w:rsidRDefault="008E4EE6" w:rsidP="00185CB2">
            <w:pPr>
              <w:spacing w:after="0" w:line="240" w:lineRule="auto"/>
              <w:ind w:firstLine="45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eastAsia="SimSun" w:hAnsi="Times New Roman"/>
              </w:rPr>
              <w:t>Доля детей в возрасте от 1 – 6 лет, получающих дошкольную образовательную услугу</w:t>
            </w:r>
            <w:r w:rsidRPr="001E69AF">
              <w:rPr>
                <w:rFonts w:ascii="Times New Roman" w:hAnsi="Times New Roman"/>
              </w:rPr>
              <w:t xml:space="preserve"> и (или) услугу по их содержанию в муниципальных образовательных учреждениях в общей численности детей в возрасте 1 - 6 лет составляет 53,2%. </w:t>
            </w:r>
          </w:p>
          <w:p w:rsidR="008E4EE6" w:rsidRPr="001E69AF" w:rsidRDefault="008E4EE6" w:rsidP="00185CB2">
            <w:pPr>
              <w:spacing w:after="0" w:line="240" w:lineRule="auto"/>
              <w:ind w:firstLine="45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С 2023 года все дети определены в дошкольные учреждения и в группы кратковременного пребывания при образовательных учреждениях.</w:t>
            </w:r>
          </w:p>
          <w:p w:rsidR="008E4EE6" w:rsidRPr="001E69AF" w:rsidRDefault="008E4EE6" w:rsidP="00185CB2">
            <w:pPr>
              <w:spacing w:after="0" w:line="240" w:lineRule="auto"/>
              <w:ind w:firstLine="45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Все дошкольные учреждения отремонтированы.</w:t>
            </w:r>
          </w:p>
          <w:p w:rsidR="008E4EE6" w:rsidRPr="001E69AF" w:rsidRDefault="008E4EE6" w:rsidP="00185CB2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дошкольного образования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59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  <w:lang w:val="en-US"/>
              </w:rPr>
            </w:pPr>
            <w:r w:rsidRPr="001E69AF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39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  <w:b/>
              </w:rPr>
              <w:t>Рынок услуг дополнительного образования детей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2.1.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Доля детей в возрасте 5-18 лет, </w:t>
            </w:r>
            <w:r w:rsidRPr="001E69AF">
              <w:rPr>
                <w:rFonts w:ascii="Times New Roman" w:hAnsi="Times New Roman"/>
              </w:rPr>
              <w:lastRenderedPageBreak/>
              <w:t>проживающих на территории муниципального района, получающих образовательные услуги в сфере дополнительного образования, осуществляющих образовательную деятельность по дополнительным общеобразовательным программам, в  общей численности детей данной возрастной группы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lastRenderedPageBreak/>
              <w:t>93,95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71,4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94,1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75,0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94,45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75,68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8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В 2021-2022 учебном году  на базе МБУДО </w:t>
            </w:r>
            <w:r w:rsidRPr="001E69AF">
              <w:rPr>
                <w:rFonts w:ascii="Times New Roman" w:hAnsi="Times New Roman"/>
              </w:rPr>
              <w:lastRenderedPageBreak/>
              <w:t xml:space="preserve">«Дубенская ДЮСШ»   проведено более 20 соревнований по различным видам спорта. </w:t>
            </w:r>
            <w:proofErr w:type="gramStart"/>
            <w:r w:rsidRPr="001E69AF">
              <w:rPr>
                <w:rFonts w:ascii="Times New Roman" w:hAnsi="Times New Roman"/>
              </w:rPr>
              <w:t>Из них  2 республиканских:  по легкой атлетике, футболу,  6 зональных  и 10 районных,   в том числе в рамках Всероссийских проектов «</w:t>
            </w:r>
            <w:proofErr w:type="spellStart"/>
            <w:r w:rsidRPr="001E69AF">
              <w:rPr>
                <w:rFonts w:ascii="Times New Roman" w:hAnsi="Times New Roman"/>
              </w:rPr>
              <w:t>КЭС-баскет</w:t>
            </w:r>
            <w:proofErr w:type="spellEnd"/>
            <w:r w:rsidRPr="001E69AF">
              <w:rPr>
                <w:rFonts w:ascii="Times New Roman" w:hAnsi="Times New Roman"/>
              </w:rPr>
              <w:t xml:space="preserve">», «Мини-футбол в школу», «Президентские спортивные игры» и «Президентские спортивные состязания» а также, согласно Федерального календарного плана поэтапного внедрения комплекса ГТО проведен  летний Фестивали ГТО среди школьников  </w:t>
            </w:r>
            <w:r w:rsidRPr="001E69AF">
              <w:rPr>
                <w:rFonts w:ascii="Times New Roman" w:hAnsi="Times New Roman"/>
                <w:lang w:val="en-US"/>
              </w:rPr>
              <w:t>I</w:t>
            </w:r>
            <w:r w:rsidRPr="001E69AF">
              <w:rPr>
                <w:rFonts w:ascii="Times New Roman" w:hAnsi="Times New Roman"/>
              </w:rPr>
              <w:t>-</w:t>
            </w:r>
            <w:r w:rsidRPr="001E69AF">
              <w:rPr>
                <w:rFonts w:ascii="Times New Roman" w:hAnsi="Times New Roman"/>
                <w:lang w:val="en-US"/>
              </w:rPr>
              <w:t>IV</w:t>
            </w:r>
            <w:r w:rsidRPr="001E69AF">
              <w:rPr>
                <w:rFonts w:ascii="Times New Roman" w:hAnsi="Times New Roman"/>
              </w:rPr>
              <w:t xml:space="preserve">  ступеней.</w:t>
            </w:r>
            <w:proofErr w:type="gramEnd"/>
            <w:r w:rsidRPr="001E69AF">
              <w:rPr>
                <w:rFonts w:ascii="Times New Roman" w:hAnsi="Times New Roman"/>
              </w:rPr>
              <w:t xml:space="preserve"> Совместно с республиканским центром тестирования  ГТО  в начале октября  2022 г. проведено тестирование  учащихся 11 классов Дубенского, </w:t>
            </w:r>
            <w:proofErr w:type="spellStart"/>
            <w:r w:rsidRPr="001E69AF">
              <w:rPr>
                <w:rFonts w:ascii="Times New Roman" w:hAnsi="Times New Roman"/>
              </w:rPr>
              <w:t>Атяшевского</w:t>
            </w:r>
            <w:proofErr w:type="spellEnd"/>
            <w:r w:rsidRPr="001E69AF">
              <w:rPr>
                <w:rFonts w:ascii="Times New Roman" w:hAnsi="Times New Roman"/>
              </w:rPr>
              <w:t xml:space="preserve">, </w:t>
            </w:r>
            <w:proofErr w:type="spellStart"/>
            <w:r w:rsidRPr="001E69AF">
              <w:rPr>
                <w:rFonts w:ascii="Times New Roman" w:hAnsi="Times New Roman"/>
              </w:rPr>
              <w:t>Ардатовского</w:t>
            </w:r>
            <w:proofErr w:type="spellEnd"/>
            <w:r w:rsidRPr="001E69AF">
              <w:rPr>
                <w:rFonts w:ascii="Times New Roman" w:hAnsi="Times New Roman"/>
              </w:rPr>
              <w:t xml:space="preserve"> районов.</w:t>
            </w:r>
          </w:p>
          <w:p w:rsidR="008E4EE6" w:rsidRPr="001E69AF" w:rsidRDefault="008E4EE6" w:rsidP="00185CB2">
            <w:pPr>
              <w:spacing w:after="0" w:line="240" w:lineRule="auto"/>
              <w:ind w:firstLine="318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МБУДО  «Дубенская ДЮСШ» осуществляет  образовательный процесс  в соответствии с этапами многолетней подготовки </w:t>
            </w:r>
            <w:proofErr w:type="gramStart"/>
            <w:r w:rsidRPr="001E69AF">
              <w:rPr>
                <w:rFonts w:ascii="Times New Roman" w:hAnsi="Times New Roman"/>
              </w:rPr>
              <w:t>обучающихся</w:t>
            </w:r>
            <w:proofErr w:type="gramEnd"/>
            <w:r w:rsidRPr="001E69AF">
              <w:rPr>
                <w:rFonts w:ascii="Times New Roman" w:hAnsi="Times New Roman"/>
              </w:rPr>
              <w:t>. Воспитанники ДЮСШ на протяжении года успешно выступали на соревнованиях различного уровня.</w:t>
            </w:r>
          </w:p>
          <w:p w:rsidR="008E4EE6" w:rsidRPr="001E69AF" w:rsidRDefault="008E4EE6" w:rsidP="00185CB2">
            <w:pPr>
              <w:pStyle w:val="a8"/>
              <w:ind w:firstLine="318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Проблема: Негосударственный сектор услуг дополнительного образования в районе не развивается. Проблема выхода частного бизнеса на рынок услуг дополнительного образования определена нестабильностью спроса на данные услуги (сезонность предоставления, кризисные моменты в экономике); высокий уровень затрат на востребованные направления деятельности (техническое творчество) и, как следствие, высокая цена услуги для потребителя.</w:t>
            </w:r>
          </w:p>
          <w:p w:rsidR="008E4EE6" w:rsidRPr="001E69AF" w:rsidRDefault="008E4EE6" w:rsidP="00185CB2">
            <w:pPr>
              <w:pStyle w:val="a8"/>
              <w:spacing w:line="276" w:lineRule="auto"/>
              <w:rPr>
                <w:rFonts w:ascii="Times New Roman" w:hAnsi="Times New Roman"/>
              </w:rPr>
            </w:pPr>
          </w:p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Повышение охвата детей дополнительным образованием за счет открытия организаций, реализующих дополнительную образовательную программу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59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  <w:lang w:val="en-US"/>
              </w:rPr>
            </w:pPr>
            <w:r w:rsidRPr="001E69AF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139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  <w:b/>
              </w:rPr>
              <w:t>Рынок услуг детского отдыха и оздоровления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3.1.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gramStart"/>
            <w:r w:rsidRPr="001E69AF">
              <w:rPr>
                <w:rFonts w:ascii="Times New Roman" w:hAnsi="Times New Roman"/>
              </w:rPr>
              <w:t xml:space="preserve">Численность детей в возрасте от 7 до 17 лет, отдохнувших в </w:t>
            </w:r>
            <w:r w:rsidRPr="001E69AF">
              <w:rPr>
                <w:rFonts w:ascii="Times New Roman" w:hAnsi="Times New Roman"/>
              </w:rPr>
              <w:lastRenderedPageBreak/>
              <w:t>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 в общей численности детей этой категории, проживающих на территории муниципального района</w:t>
            </w:r>
            <w:proofErr w:type="gramEnd"/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lastRenderedPageBreak/>
              <w:t>370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375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99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380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455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В районе имеется оздоровительный детский лагерь «Сосновый бор» (вместимость </w:t>
            </w:r>
            <w:r w:rsidRPr="001E69AF">
              <w:rPr>
                <w:rFonts w:ascii="Times New Roman" w:hAnsi="Times New Roman"/>
              </w:rPr>
              <w:lastRenderedPageBreak/>
              <w:t>45 мест), функционирующий ежегодно в 3 смены. В 2022 году ДОЛ «Сосновый бор» принял 3 смены по 40 детей.</w:t>
            </w:r>
          </w:p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В 2022 году работа проводилась </w:t>
            </w:r>
            <w:proofErr w:type="gramStart"/>
            <w:r w:rsidRPr="001E69AF">
              <w:rPr>
                <w:rFonts w:ascii="Times New Roman" w:hAnsi="Times New Roman"/>
              </w:rPr>
              <w:t>согласно</w:t>
            </w:r>
            <w:proofErr w:type="gramEnd"/>
            <w:r w:rsidRPr="001E69AF">
              <w:rPr>
                <w:rFonts w:ascii="Times New Roman" w:hAnsi="Times New Roman"/>
              </w:rPr>
              <w:t xml:space="preserve"> методических рекомендаций внеурочной деятельности, программы воспитания, социализации и дополнительных общеобразовательных программ с применением дистанционных образовательных технологий, разработанные в соответствии с Федеральным законом от 29 декабря 2012 г. № 273-ФЗ «Об образовании в Российской Федерации»</w:t>
            </w:r>
          </w:p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Использованы </w:t>
            </w:r>
            <w:proofErr w:type="spellStart"/>
            <w:r w:rsidRPr="001E69AF">
              <w:rPr>
                <w:rFonts w:ascii="Times New Roman" w:hAnsi="Times New Roman"/>
              </w:rPr>
              <w:t>онлайн</w:t>
            </w:r>
            <w:proofErr w:type="spellEnd"/>
            <w:r w:rsidRPr="001E69AF">
              <w:rPr>
                <w:rFonts w:ascii="Times New Roman" w:hAnsi="Times New Roman"/>
              </w:rPr>
              <w:t xml:space="preserve"> – ресурсы для организации дополнительного образования детей в летний период.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Содействие в проведение мониторинга состояния конкурентной среды на рынке услуг дополнительного образования детей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4</w:t>
            </w:r>
          </w:p>
        </w:tc>
        <w:tc>
          <w:tcPr>
            <w:tcW w:w="139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  <w:b/>
              </w:rPr>
              <w:t>Рынок психолого-педагогического сопровождения детей с ограниченными возможностями здоровья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4.1.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Доля детей с ограниченными возможностями здоровья (в возрасте от 3х до 18 лет), получающих услуги диагностики, социализации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и реабилитации, в общей численности детей с ограниченными возможностями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здоровья (в возрасте от 3х до 18 лет),  процент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8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  В целях обеспечения качественного и доступного образования обучающихся с ограниченными возможностями здоровья и инвалидностью утвержден состав и порядок территориальной </w:t>
            </w:r>
            <w:proofErr w:type="spellStart"/>
            <w:r w:rsidRPr="001E69AF">
              <w:rPr>
                <w:rFonts w:ascii="Times New Roman" w:hAnsi="Times New Roman"/>
              </w:rPr>
              <w:t>психолого-медико-педагогической</w:t>
            </w:r>
            <w:proofErr w:type="spellEnd"/>
            <w:r w:rsidRPr="001E69AF">
              <w:rPr>
                <w:rFonts w:ascii="Times New Roman" w:hAnsi="Times New Roman"/>
              </w:rPr>
              <w:t xml:space="preserve"> комиссии, </w:t>
            </w:r>
            <w:r w:rsidRPr="001E69AF">
              <w:rPr>
                <w:rFonts w:ascii="Times New Roman" w:hAnsi="Times New Roman"/>
                <w:i/>
              </w:rPr>
              <w:t>(далее ПМПК).</w:t>
            </w:r>
            <w:r w:rsidRPr="001E69AF">
              <w:rPr>
                <w:rFonts w:ascii="Times New Roman" w:hAnsi="Times New Roman"/>
              </w:rPr>
              <w:t xml:space="preserve"> </w:t>
            </w:r>
          </w:p>
          <w:p w:rsidR="008E4EE6" w:rsidRPr="001E69AF" w:rsidRDefault="008E4EE6" w:rsidP="00185CB2">
            <w:pPr>
              <w:spacing w:after="0" w:line="240" w:lineRule="auto"/>
              <w:ind w:firstLine="318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На ПМПК в 2022 году обратилось 22 человека. В соответствии с рекомендациями ПМПК на </w:t>
            </w:r>
            <w:proofErr w:type="gramStart"/>
            <w:r w:rsidRPr="001E69AF">
              <w:rPr>
                <w:rFonts w:ascii="Times New Roman" w:hAnsi="Times New Roman"/>
              </w:rPr>
              <w:t>обучение</w:t>
            </w:r>
            <w:proofErr w:type="gramEnd"/>
            <w:r w:rsidRPr="001E69AF">
              <w:rPr>
                <w:rFonts w:ascii="Times New Roman" w:hAnsi="Times New Roman"/>
              </w:rPr>
              <w:t xml:space="preserve"> по адаптированным общеобразовательным программам в 2022 году 14 детей продолжили обучение. В соответствии с этими рекомендациями школами разработаны адаптированные программы и закуплены специальные учебники для обучения этих детей. На базе каждого детского сада открыты и действуют консультационные центры, обеспечивающие получение родителями детей дошкольного возраста методической, психолого-педагогической, и консультативной помощи, а также на базах общеобразовательных организаций района работают педагоги-психологи. Консультативные центры открыты </w:t>
            </w:r>
            <w:r w:rsidRPr="001E69AF">
              <w:rPr>
                <w:rFonts w:ascii="Times New Roman" w:hAnsi="Times New Roman"/>
              </w:rPr>
              <w:lastRenderedPageBreak/>
              <w:t>на основании приказов «О функционировании консультационного центра на базе ДОУ». Утверждены графики и планы работы Консультационного центра.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  <w:color w:val="2D2D2D"/>
                <w:spacing w:val="2"/>
              </w:rPr>
              <w:t xml:space="preserve">Оказание методической,  консультативной помощи </w:t>
            </w:r>
            <w:proofErr w:type="gramStart"/>
            <w:r w:rsidRPr="001E69AF">
              <w:rPr>
                <w:rFonts w:ascii="Times New Roman" w:hAnsi="Times New Roman"/>
              </w:rPr>
              <w:t>организациям</w:t>
            </w:r>
            <w:proofErr w:type="gramEnd"/>
            <w:r w:rsidRPr="001E69AF">
              <w:rPr>
                <w:rFonts w:ascii="Times New Roman" w:hAnsi="Times New Roman"/>
              </w:rPr>
              <w:t xml:space="preserve">  оказывающим услуги</w:t>
            </w:r>
            <w:r w:rsidRPr="001E69AF">
              <w:rPr>
                <w:rFonts w:ascii="Times New Roman" w:hAnsi="Times New Roman"/>
                <w:b/>
              </w:rPr>
              <w:t xml:space="preserve"> </w:t>
            </w:r>
            <w:r w:rsidRPr="001E69AF">
              <w:rPr>
                <w:rFonts w:ascii="Times New Roman" w:hAnsi="Times New Roman"/>
              </w:rPr>
              <w:t>психолого-педагогического сопровождения детей с ограниченными возможностями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139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  <w:b/>
              </w:rPr>
              <w:t>Рынок медицинских услуг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5.1.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Количество медицинских организаций частной системы здравоохранения, участвующих</w:t>
            </w:r>
          </w:p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в реализации территориальных программ обязательного медицинского страхования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keepNext/>
              <w:keepLines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Количество медицинских организаций частной системы здравоохранения, участвующих в реализации территориальных программ обязательного медицинского страхования 2022 год 2 ед., что на уровне 2021 года. 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Создание условий для развития конкуренции на рынке медицинских услуг, в т.ч. для негосударственных медицинских организаций 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медицинских услуг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   Рынок медицинских услуг Дубенского муниципального района представлен ГБУЗ Республики Мордовия «Дубенская РБ», имеет в своем составе структурные подразделения: стационар на 40 коек, поликлиника на 150 посещений, детской консультацией в составе поликлиники, 20 ФАП, а также частными учреждениями: филиал ООО «Мастер </w:t>
            </w:r>
            <w:proofErr w:type="spellStart"/>
            <w:r w:rsidRPr="001E69AF">
              <w:rPr>
                <w:rFonts w:ascii="Times New Roman" w:hAnsi="Times New Roman"/>
              </w:rPr>
              <w:t>Дент</w:t>
            </w:r>
            <w:proofErr w:type="spellEnd"/>
            <w:r w:rsidRPr="001E69AF">
              <w:rPr>
                <w:rFonts w:ascii="Times New Roman" w:hAnsi="Times New Roman"/>
              </w:rPr>
              <w:t>», медицинский центр «Вера». Охват населения медицинскими услугами осуществляется в полном объеме, в том числе частными медицинскими учреждениями, которые могут создавать конкуренцию устоявшимся государственным учреждениям здравоохранения. Однако, к факторам, сдерживающим конкуренцию, можно отнести дефицит медицинских кадров, а также низкий уровень доходов населения, с учетом которого жителям приходится прибегать к бесплатному обслуживанию в государственных учреждениях. В связи с этим и наблюдается снижение количества стоматологических услуг оказанных индивидуальным предпринимателями.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139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  <w:b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6.1.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Количество  организаций частной формы собственности в сфере услуг розничной торговли лекарственными препаратами, медицинскими изделиями и сопутствующими товарами, процент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3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3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3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3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4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4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В 2022 году Количество организаций частной формы собственности  в сфере услуг розничной торговли лекарственными препаратами, медицинскими изделиями и сопутствующими товарами увеличилось на одну единицу и составило 4 аптечные организации. Увеличение произошло за счет открытия аптек</w:t>
            </w:r>
            <w:proofErr w:type="gramStart"/>
            <w:r w:rsidRPr="001E69AF">
              <w:rPr>
                <w:rFonts w:ascii="Times New Roman" w:hAnsi="Times New Roman"/>
              </w:rPr>
              <w:t>и ООО</w:t>
            </w:r>
            <w:proofErr w:type="gramEnd"/>
            <w:r w:rsidRPr="001E69AF">
              <w:rPr>
                <w:rFonts w:ascii="Times New Roman" w:hAnsi="Times New Roman"/>
              </w:rPr>
              <w:t xml:space="preserve"> «Апрель». Процент выполнения показателя составляет 100%. 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Расширение рынка в сфере услуг розничной торговли лекарственными препаратами, медицинскими изделиями и сопутствующими товарами Содействие в проведении мониторинга состояния конкурентной среды на рынке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Рынок услуг розничной торговли лекарственными препаратами, медицинскими изделиями и сопутствующими товарами представлен 5 аптечными организациями, это ГУП РМ «Фармация», аптека «Вита», аптека «Имплозия», аптек</w:t>
            </w:r>
            <w:proofErr w:type="gramStart"/>
            <w:r w:rsidRPr="001E69AF">
              <w:rPr>
                <w:rFonts w:ascii="Times New Roman" w:hAnsi="Times New Roman"/>
              </w:rPr>
              <w:t>а ООО</w:t>
            </w:r>
            <w:proofErr w:type="gramEnd"/>
            <w:r w:rsidRPr="001E69AF">
              <w:rPr>
                <w:rFonts w:ascii="Times New Roman" w:hAnsi="Times New Roman"/>
              </w:rPr>
              <w:t xml:space="preserve"> «Аннушка», ООО «Апрель».  Доля государственных аптечных организаций, осуществляющих розничную торговлю фармацевтической продукцией, в общем количестве аптечных организаций составляет 20%.</w:t>
            </w:r>
          </w:p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7</w:t>
            </w:r>
          </w:p>
        </w:tc>
        <w:tc>
          <w:tcPr>
            <w:tcW w:w="139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</w:p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  <w:b/>
              </w:rPr>
              <w:t>Рынок социальных услуг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7.1.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Доля негосударственных организаций социального обслуживания, предоставляющих социальные услуги, процент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67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67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67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Доля негосударственных организаций социального обслуживания от общего числа организаций составляет 67%. Наблюдается перевыполнение плана. 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социального обслуживания населения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В районе созданы условия для развития конкуренции в сфере социального обслуживания. Помимо трех государственных учреждений района по социальному обслуживанию населения, социальные услуги в 2022 году оказывали частные немуниципальные организации   </w:t>
            </w:r>
            <w:r w:rsidRPr="001E69AF">
              <w:rPr>
                <w:rFonts w:ascii="Times New Roman" w:hAnsi="Times New Roman"/>
                <w:i/>
              </w:rPr>
              <w:t>(АНО СОГ «Границы добра», ООО «Рука помощи»).</w:t>
            </w:r>
            <w:r w:rsidRPr="001E69AF">
              <w:rPr>
                <w:rFonts w:ascii="Times New Roman" w:hAnsi="Times New Roman"/>
              </w:rPr>
              <w:t xml:space="preserve"> </w:t>
            </w:r>
            <w:proofErr w:type="gramStart"/>
            <w:r w:rsidRPr="001E69AF">
              <w:rPr>
                <w:rFonts w:ascii="Times New Roman" w:hAnsi="Times New Roman"/>
              </w:rPr>
              <w:t xml:space="preserve">Удельный вес негосударственных организаций </w:t>
            </w:r>
            <w:r w:rsidRPr="001E69AF">
              <w:rPr>
                <w:rFonts w:ascii="Times New Roman" w:hAnsi="Times New Roman"/>
              </w:rPr>
              <w:lastRenderedPageBreak/>
              <w:t>социального обслуживания, основанных на иных формах собственности (кроме муниципальной), в общем количестве организаций социального обслуживания всех форм собственности в Дубенском муниципальном районе составил за 2022 год 40 процентов.</w:t>
            </w:r>
            <w:proofErr w:type="gramEnd"/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lastRenderedPageBreak/>
              <w:t>8</w:t>
            </w:r>
          </w:p>
        </w:tc>
        <w:tc>
          <w:tcPr>
            <w:tcW w:w="139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  <w:b/>
              </w:rPr>
              <w:t>Рынок выполнения работ по благоустройству городской среды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8.1.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Доля организаций частной формы собственности в сфере выполнения работ по благоустройству городской среды, процент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widowControl w:val="0"/>
              <w:spacing w:after="0" w:line="240" w:lineRule="auto"/>
              <w:ind w:right="-57" w:firstLine="318"/>
              <w:contextualSpacing/>
              <w:jc w:val="both"/>
              <w:textAlignment w:val="baseline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Все работы по благоустройству городской среды проводились частными организациями. Процент выполнения показателя составляет 100 %.</w:t>
            </w:r>
          </w:p>
          <w:p w:rsidR="008E4EE6" w:rsidRPr="001E69AF" w:rsidRDefault="008E4EE6" w:rsidP="00185CB2">
            <w:pPr>
              <w:spacing w:after="0" w:line="240" w:lineRule="auto"/>
              <w:ind w:firstLine="318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Развитие системы организаций частной формы собственности в сфере выполнения работ по благоустройству городской среды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widowControl w:val="0"/>
              <w:spacing w:after="0" w:line="240" w:lineRule="auto"/>
              <w:ind w:right="-57" w:firstLine="318"/>
              <w:contextualSpacing/>
              <w:jc w:val="both"/>
              <w:textAlignment w:val="baseline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В  2022 году в рамках государственной программы «Комплексное развитие сельских территорий» выполнены следующие работы: Построена детская площадка в с</w:t>
            </w:r>
            <w:proofErr w:type="gramStart"/>
            <w:r w:rsidRPr="001E69AF">
              <w:rPr>
                <w:rFonts w:ascii="Times New Roman" w:hAnsi="Times New Roman"/>
              </w:rPr>
              <w:t>.Д</w:t>
            </w:r>
            <w:proofErr w:type="gramEnd"/>
            <w:r w:rsidRPr="001E69AF">
              <w:rPr>
                <w:rFonts w:ascii="Times New Roman" w:hAnsi="Times New Roman"/>
              </w:rPr>
              <w:t xml:space="preserve">убенки на сумму 502,1 тыс.руб., в с. </w:t>
            </w:r>
            <w:proofErr w:type="spellStart"/>
            <w:r w:rsidRPr="001E69AF">
              <w:rPr>
                <w:rFonts w:ascii="Times New Roman" w:hAnsi="Times New Roman"/>
              </w:rPr>
              <w:t>Пуркаево</w:t>
            </w:r>
            <w:proofErr w:type="spellEnd"/>
            <w:r w:rsidRPr="001E69AF">
              <w:rPr>
                <w:rFonts w:ascii="Times New Roman" w:hAnsi="Times New Roman"/>
              </w:rPr>
              <w:t xml:space="preserve"> на 643,9 тыс.руб.</w:t>
            </w:r>
          </w:p>
          <w:p w:rsidR="008E4EE6" w:rsidRPr="001E69AF" w:rsidRDefault="008E4EE6" w:rsidP="00185CB2">
            <w:pPr>
              <w:spacing w:after="0" w:line="240" w:lineRule="auto"/>
              <w:ind w:firstLine="318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На 2023 год подана заявка на получение финансирования для строительства объектов в рамках госпрограммы «Комплексное развитие сельских территорий», ведомственного проекта «Современный облик сельских территорий». На отбор заявлено:</w:t>
            </w:r>
          </w:p>
          <w:p w:rsidR="008E4EE6" w:rsidRPr="001E69AF" w:rsidRDefault="008E4EE6" w:rsidP="00185CB2">
            <w:pPr>
              <w:spacing w:after="0" w:line="240" w:lineRule="auto"/>
              <w:ind w:firstLine="318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1. Водоснабжение с. </w:t>
            </w:r>
            <w:proofErr w:type="spellStart"/>
            <w:r w:rsidRPr="001E69AF">
              <w:rPr>
                <w:rFonts w:ascii="Times New Roman" w:hAnsi="Times New Roman"/>
              </w:rPr>
              <w:t>Поводимово</w:t>
            </w:r>
            <w:proofErr w:type="spellEnd"/>
            <w:r w:rsidRPr="001E69AF">
              <w:rPr>
                <w:rFonts w:ascii="Times New Roman" w:hAnsi="Times New Roman"/>
              </w:rPr>
              <w:t xml:space="preserve"> (2 этап) протяженностью 7,652 км, (требуется установить 22 емкости), стоимостью в ценах на 2023 г. – 54 479,810 тыс. руб.;</w:t>
            </w:r>
          </w:p>
          <w:p w:rsidR="008E4EE6" w:rsidRPr="001E69AF" w:rsidRDefault="008E4EE6" w:rsidP="00185CB2">
            <w:pPr>
              <w:spacing w:after="0" w:line="240" w:lineRule="auto"/>
              <w:ind w:firstLine="318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2. Организация бесплатного доступа в сеть Интернет с использованием точек доступа, подключенных по волоконно-оптическим линиям связи на территории детской игровой площадки, совмещенной со спортивной площадкой, стоимость в ценах на 2023 г.  – 562,44 тыс. руб. (протяженностью 0,2м.)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9</w:t>
            </w:r>
          </w:p>
        </w:tc>
        <w:tc>
          <w:tcPr>
            <w:tcW w:w="139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  <w:b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9.1.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Общее количество зарегистрированных </w:t>
            </w:r>
            <w:r w:rsidRPr="001E69AF">
              <w:rPr>
                <w:rFonts w:ascii="Times New Roman" w:hAnsi="Times New Roman"/>
              </w:rPr>
              <w:lastRenderedPageBreak/>
              <w:t>хозяйствующих субъектов на рынке услуг перевозок пассажиров наземным транспортом на территории муниципального образования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lastRenderedPageBreak/>
              <w:t>13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12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13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14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28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29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Процент выполнения показателя составляет 103,6 %.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Создание условий для развития конкуренции на рынке услуг перевозок пассажиров наземным транспортом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На территории Дубенского муниципального района перевозки по 6 автобусным маршрутам осуществляет ООО «ГИГ» по установленному графику. </w:t>
            </w:r>
          </w:p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Согласно данным единого реестра субъектов малого и среднего предпринимательства на территории района зарегистрированы и ведут свою деятельность 29 ИП в сфере перевозок пассажиров наземным транспортом.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</w:t>
            </w:r>
          </w:p>
        </w:tc>
        <w:tc>
          <w:tcPr>
            <w:tcW w:w="139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  <w:b/>
              </w:rPr>
              <w:t>Рынок услуг связи, в том числе по предоставлению широкополосного доступа к информационно-телекоммуникационной сети «Интернет»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10.1.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Доля домохозяйств, имеющих доступ к информационн</w:t>
            </w:r>
            <w:proofErr w:type="gramStart"/>
            <w:r w:rsidRPr="001E69AF">
              <w:rPr>
                <w:rFonts w:ascii="Times New Roman" w:hAnsi="Times New Roman"/>
              </w:rPr>
              <w:t>о-</w:t>
            </w:r>
            <w:proofErr w:type="gramEnd"/>
            <w:r w:rsidRPr="001E69AF">
              <w:rPr>
                <w:rFonts w:ascii="Times New Roman" w:hAnsi="Times New Roman"/>
              </w:rPr>
              <w:t xml:space="preserve"> телекоммуникационной  сети Интернет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99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99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99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99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Показатель выполнен на 100%.</w:t>
            </w:r>
          </w:p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Несмотря на достаточно развитую телекоммуникационную инфраструктуру, в районе остается актуальной проблема о повышении доступности услуг телевидения и интернет в населенных пунктах Дубенского района. Задачей развития конкуренции на рынке связи будет строительство пунктов волоконно-оптических линий связи. </w:t>
            </w:r>
          </w:p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Проведение мониторинга охвата населения информационно-телекоммуникационной сетью Интернет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Рынок связи Дубенского района характеризуется значительным количеством участников и высоким уровнем развития конкуренции. Телекоммуникационная инфраструктура активно развивается на основе формирования современных высокоскоростных сетей и современных технологий мобильной связи. </w:t>
            </w:r>
          </w:p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В 2022 году были установлены 3 станции сотового оператора </w:t>
            </w:r>
            <w:r w:rsidRPr="001E69AF">
              <w:rPr>
                <w:rFonts w:ascii="Times New Roman" w:hAnsi="Times New Roman"/>
                <w:lang w:val="en-US"/>
              </w:rPr>
              <w:t>Tele</w:t>
            </w:r>
            <w:r w:rsidRPr="001E69AF">
              <w:rPr>
                <w:rFonts w:ascii="Times New Roman" w:hAnsi="Times New Roman"/>
              </w:rPr>
              <w:t xml:space="preserve"> 2 в </w:t>
            </w:r>
            <w:proofErr w:type="spellStart"/>
            <w:r w:rsidRPr="001E69AF">
              <w:rPr>
                <w:rFonts w:ascii="Times New Roman" w:hAnsi="Times New Roman"/>
              </w:rPr>
              <w:t>с</w:t>
            </w:r>
            <w:proofErr w:type="gramStart"/>
            <w:r w:rsidRPr="001E69AF">
              <w:rPr>
                <w:rFonts w:ascii="Times New Roman" w:hAnsi="Times New Roman"/>
              </w:rPr>
              <w:t>.Е</w:t>
            </w:r>
            <w:proofErr w:type="gramEnd"/>
            <w:r w:rsidRPr="001E69AF">
              <w:rPr>
                <w:rFonts w:ascii="Times New Roman" w:hAnsi="Times New Roman"/>
              </w:rPr>
              <w:t>нгалычево</w:t>
            </w:r>
            <w:proofErr w:type="spellEnd"/>
            <w:r w:rsidRPr="001E69AF">
              <w:rPr>
                <w:rFonts w:ascii="Times New Roman" w:hAnsi="Times New Roman"/>
              </w:rPr>
              <w:t xml:space="preserve">, </w:t>
            </w:r>
            <w:proofErr w:type="spellStart"/>
            <w:r w:rsidRPr="001E69AF">
              <w:rPr>
                <w:rFonts w:ascii="Times New Roman" w:hAnsi="Times New Roman"/>
              </w:rPr>
              <w:t>с.Турдаково</w:t>
            </w:r>
            <w:proofErr w:type="spellEnd"/>
            <w:r w:rsidRPr="001E69AF">
              <w:rPr>
                <w:rFonts w:ascii="Times New Roman" w:hAnsi="Times New Roman"/>
              </w:rPr>
              <w:t>, с.Николаевка.</w:t>
            </w:r>
          </w:p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Был проведен высокоскоростной интернет в с</w:t>
            </w:r>
            <w:proofErr w:type="gramStart"/>
            <w:r w:rsidRPr="001E69AF">
              <w:rPr>
                <w:rFonts w:ascii="Times New Roman" w:hAnsi="Times New Roman"/>
              </w:rPr>
              <w:t>.Д</w:t>
            </w:r>
            <w:proofErr w:type="gramEnd"/>
            <w:r w:rsidRPr="001E69AF">
              <w:rPr>
                <w:rFonts w:ascii="Times New Roman" w:hAnsi="Times New Roman"/>
              </w:rPr>
              <w:t xml:space="preserve">убенки по ул.Юбилейная, </w:t>
            </w:r>
            <w:proofErr w:type="spellStart"/>
            <w:r w:rsidRPr="001E69AF">
              <w:rPr>
                <w:rFonts w:ascii="Times New Roman" w:hAnsi="Times New Roman"/>
              </w:rPr>
              <w:t>ул.Бурнаева</w:t>
            </w:r>
            <w:proofErr w:type="spellEnd"/>
            <w:r w:rsidRPr="001E69AF">
              <w:rPr>
                <w:rFonts w:ascii="Times New Roman" w:hAnsi="Times New Roman"/>
              </w:rPr>
              <w:t xml:space="preserve">, ул.Садовая, </w:t>
            </w:r>
            <w:proofErr w:type="spellStart"/>
            <w:r w:rsidRPr="001E69AF">
              <w:rPr>
                <w:rFonts w:ascii="Times New Roman" w:hAnsi="Times New Roman"/>
              </w:rPr>
              <w:t>ул.Аэропортная</w:t>
            </w:r>
            <w:proofErr w:type="spellEnd"/>
            <w:r w:rsidRPr="001E69AF">
              <w:rPr>
                <w:rFonts w:ascii="Times New Roman" w:hAnsi="Times New Roman"/>
              </w:rPr>
              <w:t xml:space="preserve">, </w:t>
            </w:r>
            <w:proofErr w:type="spellStart"/>
            <w:r w:rsidRPr="001E69AF">
              <w:rPr>
                <w:rFonts w:ascii="Times New Roman" w:hAnsi="Times New Roman"/>
              </w:rPr>
              <w:t>ул.Жадейкина</w:t>
            </w:r>
            <w:proofErr w:type="spellEnd"/>
            <w:r w:rsidRPr="001E69AF">
              <w:rPr>
                <w:rFonts w:ascii="Times New Roman" w:hAnsi="Times New Roman"/>
              </w:rPr>
              <w:t>.</w:t>
            </w:r>
          </w:p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lastRenderedPageBreak/>
              <w:t xml:space="preserve">Несмотря на достаточно развитую телекоммуникационную инфраструктуру, в районе остается актуальной проблема о повышении доступности услуг телевидения и интернет в населенных пунктах Дубенского района. Задачей развития конкуренции на рынке связи будет строительство пунктов волоконно-оптических линий связи. 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lastRenderedPageBreak/>
              <w:t>11</w:t>
            </w:r>
          </w:p>
        </w:tc>
        <w:tc>
          <w:tcPr>
            <w:tcW w:w="139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1E69AF">
              <w:rPr>
                <w:rFonts w:ascii="Times New Roman" w:hAnsi="Times New Roman"/>
                <w:b/>
              </w:rPr>
              <w:t>Рынок строительства объектов капитального строительства, за исключением жилищного и дорожного строительства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11.1.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Доля организаций частной формы собственности в сфере строительства объектов капитального строительства,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за исключением жилищного и дорожного строительства, процент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Показатель выполнен на 100%.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Содействие в создание условий максимального благоприятствования хозяйствующим субъектам, осуществляющим деятельность на рынке услуг строительства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ind w:firstLine="319"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Рынок строительства объектов капитального строительства, за исключением жилищного и дорожного строительства на территории Дубенского муниципального района представлен 2-мя строительными организациями. Это ООО «СМП  </w:t>
            </w:r>
            <w:proofErr w:type="spellStart"/>
            <w:r w:rsidRPr="001E69AF">
              <w:rPr>
                <w:rFonts w:ascii="Times New Roman" w:hAnsi="Times New Roman"/>
              </w:rPr>
              <w:t>Дубенское</w:t>
            </w:r>
            <w:proofErr w:type="spellEnd"/>
            <w:r w:rsidRPr="001E69AF">
              <w:rPr>
                <w:rFonts w:ascii="Times New Roman" w:hAnsi="Times New Roman"/>
              </w:rPr>
              <w:t>», ООО и «</w:t>
            </w:r>
            <w:proofErr w:type="spellStart"/>
            <w:r w:rsidRPr="001E69AF">
              <w:rPr>
                <w:rFonts w:ascii="Times New Roman" w:hAnsi="Times New Roman"/>
              </w:rPr>
              <w:t>Строинвест</w:t>
            </w:r>
            <w:proofErr w:type="spellEnd"/>
            <w:r w:rsidRPr="001E69AF">
              <w:rPr>
                <w:rFonts w:ascii="Times New Roman" w:hAnsi="Times New Roman"/>
              </w:rPr>
              <w:t xml:space="preserve"> и</w:t>
            </w:r>
            <w:proofErr w:type="gramStart"/>
            <w:r w:rsidRPr="001E69AF">
              <w:rPr>
                <w:rFonts w:ascii="Times New Roman" w:hAnsi="Times New Roman"/>
              </w:rPr>
              <w:t xml:space="preserve"> К</w:t>
            </w:r>
            <w:proofErr w:type="gramEnd"/>
            <w:r w:rsidRPr="001E69AF">
              <w:rPr>
                <w:rFonts w:ascii="Times New Roman" w:hAnsi="Times New Roman"/>
              </w:rPr>
              <w:t>» Основным видом деятельности данных организаций является «Строительство жилых и нежилых зданий». Рынок строительных услуг представлен 100% организациями частной формы собственности. Объем подрядных работ за 2022 год составил 305 190,0  тыс</w:t>
            </w:r>
            <w:proofErr w:type="gramStart"/>
            <w:r w:rsidRPr="001E69AF">
              <w:rPr>
                <w:rFonts w:ascii="Times New Roman" w:hAnsi="Times New Roman"/>
              </w:rPr>
              <w:t>.р</w:t>
            </w:r>
            <w:proofErr w:type="gramEnd"/>
            <w:r w:rsidRPr="001E69AF">
              <w:rPr>
                <w:rFonts w:ascii="Times New Roman" w:hAnsi="Times New Roman"/>
              </w:rPr>
              <w:t>уб. Численность работников составляет 64 человека.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12</w:t>
            </w:r>
          </w:p>
        </w:tc>
        <w:tc>
          <w:tcPr>
            <w:tcW w:w="139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1E69AF">
              <w:rPr>
                <w:rFonts w:ascii="Times New Roman" w:hAnsi="Times New Roman"/>
                <w:b/>
              </w:rPr>
              <w:t>Рынок кадастровых и землеустроительных работ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12.1.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Доля организаций частной формы собственности в сфере кадастровых и землеустроительных работ, </w:t>
            </w:r>
            <w:r w:rsidRPr="001E69AF">
              <w:rPr>
                <w:rFonts w:ascii="Times New Roman" w:hAnsi="Times New Roman"/>
              </w:rPr>
              <w:lastRenderedPageBreak/>
              <w:t>процент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lastRenderedPageBreak/>
              <w:t xml:space="preserve">100 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100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Показатель выполнен на 100 % 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lastRenderedPageBreak/>
              <w:t xml:space="preserve"> 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Содействие в создании благоприятных условий функционирования субъектам МСП для развития рынка кадастровых и землеустроительных работ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В 2022 году проводилось мероприятия по межеванию границ населенных пунктов </w:t>
            </w:r>
            <w:proofErr w:type="spellStart"/>
            <w:r w:rsidRPr="001E69AF">
              <w:rPr>
                <w:rFonts w:ascii="Times New Roman" w:hAnsi="Times New Roman"/>
              </w:rPr>
              <w:t>Ломатского</w:t>
            </w:r>
            <w:proofErr w:type="spellEnd"/>
            <w:r w:rsidRPr="001E69AF">
              <w:rPr>
                <w:rFonts w:ascii="Times New Roman" w:hAnsi="Times New Roman"/>
              </w:rPr>
              <w:t xml:space="preserve"> сельского поселения. По </w:t>
            </w:r>
            <w:proofErr w:type="spellStart"/>
            <w:r w:rsidRPr="001E69AF">
              <w:rPr>
                <w:rFonts w:ascii="Times New Roman" w:hAnsi="Times New Roman"/>
              </w:rPr>
              <w:t>Ардатовскому</w:t>
            </w:r>
            <w:proofErr w:type="spellEnd"/>
            <w:r w:rsidRPr="001E69AF">
              <w:rPr>
                <w:rFonts w:ascii="Times New Roman" w:hAnsi="Times New Roman"/>
              </w:rPr>
              <w:t xml:space="preserve"> сельскому поселению разработан генеральный план территории. Также, по всем сельским поселениям проведены кадастровые работы по земельным участкам.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13</w:t>
            </w:r>
          </w:p>
        </w:tc>
        <w:tc>
          <w:tcPr>
            <w:tcW w:w="139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1E69AF">
              <w:rPr>
                <w:rFonts w:ascii="Times New Roman" w:hAnsi="Times New Roman"/>
                <w:b/>
              </w:rPr>
              <w:t>Рынок производства и переработки молока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13.1.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15 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15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19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pStyle w:val="a5"/>
              <w:widowControl w:val="0"/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  <w:szCs w:val="22"/>
              </w:rPr>
            </w:pPr>
            <w:r w:rsidRPr="001E69AF">
              <w:rPr>
                <w:rFonts w:ascii="Times New Roman" w:hAnsi="Times New Roman"/>
                <w:szCs w:val="22"/>
              </w:rPr>
              <w:t xml:space="preserve">Сельскохозяйственными организациями и крестьянскими (фермерскими) хозяйствами произведено молока 37,03 тыс. тонн, темп к уровню 2021 г. –  117,8%, в расчете на 1 жителя район занимает 1 место среди районов– 3551,5 кг. </w:t>
            </w:r>
          </w:p>
          <w:p w:rsidR="008E4EE6" w:rsidRPr="001E69AF" w:rsidRDefault="008E4EE6" w:rsidP="00185CB2">
            <w:pPr>
              <w:pStyle w:val="a5"/>
              <w:widowControl w:val="0"/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  <w:szCs w:val="22"/>
              </w:rPr>
            </w:pPr>
            <w:r w:rsidRPr="001E69AF">
              <w:rPr>
                <w:rFonts w:ascii="Times New Roman" w:hAnsi="Times New Roman"/>
                <w:szCs w:val="22"/>
              </w:rPr>
              <w:t>Объем производства скота и птицы в сельскохозяйственных организациях и крестьянских (фермерских) хозяйствах составил 5,49 тыс. тонн, темп роста к уровню 2021 г. –  109,6 %,в расчете на 1 жителя Дубенский район по объемам производства скота и птицы занимает 7 место среди других районов – 527 кг.</w:t>
            </w:r>
          </w:p>
          <w:p w:rsidR="008E4EE6" w:rsidRPr="001E69AF" w:rsidRDefault="008E4EE6" w:rsidP="00185CB2">
            <w:pPr>
              <w:widowControl w:val="0"/>
              <w:tabs>
                <w:tab w:val="left" w:pos="720"/>
              </w:tabs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В  2022 г. продолжается строительство молочного комплекса на 6 450 голов коров. Построено 3 коровника и родильное отделение, ведутся работы по строительству еще 2х коровников и двух площадок для размещения телят на открытом воздухе. Планируется построить еще 2 коровника 7 телятников. Всего по комплексу освоено  инвестиций </w:t>
            </w:r>
            <w:r>
              <w:rPr>
                <w:rFonts w:ascii="Times New Roman" w:hAnsi="Times New Roman"/>
              </w:rPr>
              <w:t>3,5</w:t>
            </w:r>
            <w:r w:rsidRPr="001E69AF">
              <w:rPr>
                <w:rFonts w:ascii="Times New Roman" w:hAnsi="Times New Roman"/>
              </w:rPr>
              <w:t xml:space="preserve"> млрд. рублей, Создано 1</w:t>
            </w:r>
            <w:r>
              <w:rPr>
                <w:rFonts w:ascii="Times New Roman" w:hAnsi="Times New Roman"/>
              </w:rPr>
              <w:t>70</w:t>
            </w:r>
            <w:r w:rsidRPr="001E69AF">
              <w:rPr>
                <w:rFonts w:ascii="Times New Roman" w:hAnsi="Times New Roman"/>
              </w:rPr>
              <w:t xml:space="preserve"> новых рабочих мест.</w:t>
            </w:r>
          </w:p>
          <w:p w:rsidR="008E4EE6" w:rsidRPr="001E69AF" w:rsidRDefault="008E4EE6" w:rsidP="00185CB2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13.2.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Производство  молока в общественном секторе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15546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16242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15575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23354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31300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370245</w:t>
            </w:r>
          </w:p>
        </w:tc>
        <w:tc>
          <w:tcPr>
            <w:tcW w:w="468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Рост потребления населением молочных продуктов при </w:t>
            </w:r>
            <w:proofErr w:type="gramStart"/>
            <w:r w:rsidRPr="001E69AF">
              <w:rPr>
                <w:rFonts w:ascii="Times New Roman" w:hAnsi="Times New Roman"/>
              </w:rPr>
              <w:t>одновременном</w:t>
            </w:r>
            <w:proofErr w:type="gramEnd"/>
            <w:r w:rsidRPr="001E69AF">
              <w:rPr>
                <w:rFonts w:ascii="Times New Roman" w:hAnsi="Times New Roman"/>
              </w:rPr>
              <w:t xml:space="preserve"> их </w:t>
            </w:r>
            <w:proofErr w:type="spellStart"/>
            <w:r w:rsidRPr="001E69AF">
              <w:rPr>
                <w:rFonts w:ascii="Times New Roman" w:hAnsi="Times New Roman"/>
              </w:rPr>
              <w:t>импортозамещение</w:t>
            </w:r>
            <w:proofErr w:type="spellEnd"/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14</w:t>
            </w:r>
          </w:p>
        </w:tc>
        <w:tc>
          <w:tcPr>
            <w:tcW w:w="139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1E69AF">
              <w:rPr>
                <w:rFonts w:ascii="Times New Roman" w:hAnsi="Times New Roman"/>
                <w:b/>
              </w:rPr>
              <w:t>Рынок услуг общественного питания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14.1.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Обеспечение населения муниципального района </w:t>
            </w:r>
            <w:r w:rsidRPr="001E69AF">
              <w:rPr>
                <w:rFonts w:ascii="Times New Roman" w:hAnsi="Times New Roman"/>
              </w:rPr>
              <w:lastRenderedPageBreak/>
              <w:t>посадочными местами в местах общественного питания, количество на 1000 жителей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lastRenderedPageBreak/>
              <w:t>190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141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190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  <w:lang w:val="en-US"/>
              </w:rPr>
            </w:pPr>
            <w:r w:rsidRPr="001E69AF">
              <w:rPr>
                <w:rFonts w:ascii="Times New Roman" w:hAnsi="Times New Roman"/>
                <w:lang w:val="en-US"/>
              </w:rPr>
              <w:t>138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190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133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461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На территории Дубенского района на 1 января 2022 года находятся 7 стационарных </w:t>
            </w:r>
            <w:r w:rsidRPr="001E69AF">
              <w:rPr>
                <w:rFonts w:ascii="Times New Roman" w:hAnsi="Times New Roman"/>
              </w:rPr>
              <w:lastRenderedPageBreak/>
              <w:t>объектов открытой сети: кафе – 7 единиц. Общая площадь стационарных объектов открытой сети – 1081 кв.м., общая площадь зала обслуживания посетителей 845 кв.м. Общее количество посадочных мест – 610 шт.</w:t>
            </w:r>
          </w:p>
          <w:p w:rsidR="008E4EE6" w:rsidRPr="001E69AF" w:rsidRDefault="008E4EE6" w:rsidP="00185CB2">
            <w:pPr>
              <w:spacing w:after="0" w:line="240" w:lineRule="auto"/>
              <w:ind w:firstLine="461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1E69AF">
              <w:rPr>
                <w:rFonts w:ascii="Times New Roman" w:hAnsi="Times New Roman"/>
              </w:rPr>
              <w:t>Также на территории Дубенского района действуют 14 объектов общественного питания закрытой сети: в учреждениях системы образования – 11ед., в учреждениях системы здравоохранения – 2 ед., на предприятиях и в организациях – 1 ед. Общая площадь объектов общественного питания закрытой сети – 1507 кв.м., общая площадь зала обслуживания посетителей – 758 кв.м. Общее количество посадочных мест – 776 шт.</w:t>
            </w:r>
            <w:proofErr w:type="gramEnd"/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Содействие в создании благоприятных условий функционирования субъектов МСП, осуществляющих деятельность на рынке общественного питания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14.2.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Оборот общественного питания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5630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5640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5640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/>
              <w:contextualSpacing/>
              <w:rPr>
                <w:rFonts w:ascii="Times New Roman" w:hAnsi="Times New Roman"/>
                <w:lang w:val="en-US"/>
              </w:rPr>
            </w:pPr>
            <w:r w:rsidRPr="001E69AF">
              <w:rPr>
                <w:rFonts w:ascii="Times New Roman" w:hAnsi="Times New Roman"/>
                <w:lang w:val="en-US"/>
              </w:rPr>
              <w:t>3130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5640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2622,4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Оборот общественного питания в 2022 год составляет  2622,4 тыс. руб., что на 16 % меньше прошлого года (в 2021 г. -3130 руб.). Показатель выполнен на 46,4%. Невыполнение связано с инфляцией и с последствиями после введения санкций против России. </w:t>
            </w:r>
          </w:p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Снижение оборота общественного питания вызвано уменьшением количества посетителей, что напрямую связано с  невысоким  уровнем доходов населения, также из-за увеличения цен на блюда. 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Увеличение количества посетителей объектов общественного питания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1470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/>
                <w:b/>
              </w:rPr>
            </w:pPr>
          </w:p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/>
                <w:b/>
              </w:rPr>
            </w:pPr>
            <w:r w:rsidRPr="001E69AF">
              <w:rPr>
                <w:rFonts w:ascii="Times New Roman" w:eastAsia="SimSun" w:hAnsi="Times New Roman"/>
                <w:b/>
              </w:rPr>
              <w:t>Системные показатели и мероприятия, направленные на развитие конкурентной среды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/>
                <w:b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</w:t>
            </w:r>
          </w:p>
        </w:tc>
        <w:tc>
          <w:tcPr>
            <w:tcW w:w="139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eastAsia="SimSun" w:hAnsi="Times New Roman"/>
                <w:b/>
              </w:rPr>
              <w:t>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1.1.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pStyle w:val="Default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 w:rsidRPr="001E69AF">
              <w:rPr>
                <w:rFonts w:cs="Times New Roman"/>
                <w:sz w:val="22"/>
                <w:szCs w:val="22"/>
                <w:lang w:val="ru-RU"/>
              </w:rPr>
              <w:t>Число субъектов малого и среднего предпринимательства, всего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242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225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242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217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245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263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8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За 2022 год количество субъектов малого и среднего предпринимательства увеличилось на 7,3%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Содействие в создание условий для развития конкуренции малого и среднего предпринимательства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1.2.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Количество вновь созданных рабочих мест субъектами малого и среднего </w:t>
            </w:r>
            <w:r w:rsidRPr="001E69AF">
              <w:rPr>
                <w:rFonts w:ascii="Times New Roman" w:hAnsi="Times New Roman"/>
              </w:rPr>
              <w:lastRenderedPageBreak/>
              <w:t>предпринимательства (включая вновь зарегистрированных индивидуальных предпринимателей), получившими государственную «муниципальную»   поддержку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7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6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8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8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8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В 2022 году 3 индивидуальных предпринимателя получили </w:t>
            </w:r>
            <w:proofErr w:type="spellStart"/>
            <w:r w:rsidRPr="001E69AF">
              <w:rPr>
                <w:rFonts w:ascii="Times New Roman" w:hAnsi="Times New Roman"/>
              </w:rPr>
              <w:t>микрозаймы</w:t>
            </w:r>
            <w:proofErr w:type="spellEnd"/>
            <w:r w:rsidRPr="001E69AF">
              <w:rPr>
                <w:rFonts w:ascii="Times New Roman" w:hAnsi="Times New Roman"/>
              </w:rPr>
              <w:t xml:space="preserve"> от  МКК Фонд поддержки предпринимательства </w:t>
            </w:r>
            <w:r w:rsidRPr="001E69AF">
              <w:rPr>
                <w:rFonts w:ascii="Times New Roman" w:hAnsi="Times New Roman"/>
              </w:rPr>
              <w:lastRenderedPageBreak/>
              <w:t xml:space="preserve">РМ в размере 6082,0 тыс. руб., 4 предпринимателя и 8 </w:t>
            </w:r>
            <w:proofErr w:type="spellStart"/>
            <w:r w:rsidRPr="001E69AF">
              <w:rPr>
                <w:rFonts w:ascii="Times New Roman" w:hAnsi="Times New Roman"/>
              </w:rPr>
              <w:t>самозанятых</w:t>
            </w:r>
            <w:proofErr w:type="spellEnd"/>
            <w:r w:rsidRPr="001E69AF">
              <w:rPr>
                <w:rFonts w:ascii="Times New Roman" w:hAnsi="Times New Roman"/>
              </w:rPr>
              <w:t xml:space="preserve"> граждан заключили социальный контракт на развитие бизнеса через ГКУ «Социальная защита населения по Дубенскому району». </w:t>
            </w:r>
          </w:p>
          <w:p w:rsidR="008E4EE6" w:rsidRPr="001E69AF" w:rsidRDefault="008E4EE6" w:rsidP="00185CB2">
            <w:pPr>
              <w:spacing w:after="0" w:line="240" w:lineRule="auto"/>
              <w:ind w:firstLine="318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   Также муниципальная </w:t>
            </w:r>
            <w:proofErr w:type="gramStart"/>
            <w:r w:rsidRPr="001E69AF">
              <w:rPr>
                <w:rFonts w:ascii="Times New Roman" w:hAnsi="Times New Roman"/>
              </w:rPr>
              <w:t>поддержка</w:t>
            </w:r>
            <w:proofErr w:type="gramEnd"/>
            <w:r w:rsidRPr="001E69AF">
              <w:rPr>
                <w:rFonts w:ascii="Times New Roman" w:hAnsi="Times New Roman"/>
              </w:rPr>
              <w:t xml:space="preserve"> оказывается посредством имущественной, консультационной поддержки. Перечень муниципального </w:t>
            </w:r>
            <w:proofErr w:type="gramStart"/>
            <w:r w:rsidRPr="001E69AF">
              <w:rPr>
                <w:rFonts w:ascii="Times New Roman" w:hAnsi="Times New Roman"/>
              </w:rPr>
              <w:t>имущества</w:t>
            </w:r>
            <w:proofErr w:type="gramEnd"/>
            <w:r w:rsidRPr="001E69AF">
              <w:rPr>
                <w:rFonts w:ascii="Times New Roman" w:hAnsi="Times New Roman"/>
              </w:rPr>
              <w:t xml:space="preserve"> предоставляемый субъектам МСП размещен на сайте. За 2022 год предоставлено ноль объектов из этого списка. Объем консультационной поддержки за 2022 год составляет 7 ед. 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Содействие в создании условий для развития предпринимательской деятельности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1.3.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Количество субъектов малого предпринимательства (за исключением </w:t>
            </w:r>
            <w:proofErr w:type="spellStart"/>
            <w:r w:rsidRPr="001E69AF">
              <w:rPr>
                <w:rFonts w:ascii="Times New Roman" w:hAnsi="Times New Roman"/>
              </w:rPr>
              <w:t>микропредприятий</w:t>
            </w:r>
            <w:proofErr w:type="spellEnd"/>
            <w:r w:rsidRPr="001E69AF">
              <w:rPr>
                <w:rFonts w:ascii="Times New Roman" w:hAnsi="Times New Roman"/>
              </w:rPr>
              <w:t>) обратившихся за имущественной поддержкой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0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Муниципальная </w:t>
            </w:r>
            <w:proofErr w:type="gramStart"/>
            <w:r w:rsidRPr="001E69AF">
              <w:rPr>
                <w:rFonts w:ascii="Times New Roman" w:hAnsi="Times New Roman"/>
              </w:rPr>
              <w:t>поддержка</w:t>
            </w:r>
            <w:proofErr w:type="gramEnd"/>
            <w:r w:rsidRPr="001E69AF">
              <w:rPr>
                <w:rFonts w:ascii="Times New Roman" w:hAnsi="Times New Roman"/>
              </w:rPr>
              <w:t xml:space="preserve"> оказывается посредством имущественной, консультационной поддержки. Перечень муниципального </w:t>
            </w:r>
            <w:proofErr w:type="gramStart"/>
            <w:r w:rsidRPr="001E69AF">
              <w:rPr>
                <w:rFonts w:ascii="Times New Roman" w:hAnsi="Times New Roman"/>
              </w:rPr>
              <w:t>иму</w:t>
            </w:r>
            <w:r>
              <w:rPr>
                <w:rFonts w:ascii="Times New Roman" w:hAnsi="Times New Roman"/>
              </w:rPr>
              <w:t>щ</w:t>
            </w:r>
            <w:r w:rsidRPr="001E69AF">
              <w:rPr>
                <w:rFonts w:ascii="Times New Roman" w:hAnsi="Times New Roman"/>
              </w:rPr>
              <w:t>ества</w:t>
            </w:r>
            <w:proofErr w:type="gramEnd"/>
            <w:r w:rsidRPr="001E69AF">
              <w:rPr>
                <w:rFonts w:ascii="Times New Roman" w:hAnsi="Times New Roman"/>
              </w:rPr>
              <w:t xml:space="preserve"> предоставляемый субъектам МСП размещен на сайте. За 2022 год предоставлено ноль объектов из этого списка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Оказание имущественной поддержки субъектам малого и среднего предпринимательства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1.4.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pStyle w:val="Default"/>
              <w:jc w:val="both"/>
              <w:rPr>
                <w:rFonts w:cs="Times New Roman"/>
                <w:sz w:val="22"/>
                <w:szCs w:val="22"/>
                <w:lang w:val="ru-RU"/>
              </w:rPr>
            </w:pPr>
            <w:r w:rsidRPr="001E69AF">
              <w:rPr>
                <w:rFonts w:cs="Times New Roman"/>
                <w:sz w:val="22"/>
                <w:szCs w:val="22"/>
                <w:lang w:val="ru-RU"/>
              </w:rPr>
              <w:t xml:space="preserve">Рост количества проведенных ярмарок по продаже продовольственных товаров и сельскохозяйственной продукции в соответствии с графиком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52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56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55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В 2022 году было проведено 55 универсальны</w:t>
            </w:r>
            <w:r>
              <w:rPr>
                <w:rFonts w:ascii="Times New Roman" w:hAnsi="Times New Roman"/>
              </w:rPr>
              <w:t>х</w:t>
            </w:r>
            <w:r w:rsidRPr="001E69AF">
              <w:rPr>
                <w:rFonts w:ascii="Times New Roman" w:hAnsi="Times New Roman"/>
              </w:rPr>
              <w:t xml:space="preserve"> ярмар</w:t>
            </w:r>
            <w:r>
              <w:rPr>
                <w:rFonts w:ascii="Times New Roman" w:hAnsi="Times New Roman"/>
              </w:rPr>
              <w:t>ок</w:t>
            </w:r>
            <w:r w:rsidRPr="001E69AF">
              <w:rPr>
                <w:rFonts w:ascii="Times New Roman" w:hAnsi="Times New Roman"/>
              </w:rPr>
              <w:t>. График проведения еженедельных, праздничных и других ярмарок на 2023 год утвержден Постановлением администрации Дубенского муниципального района №635 от 06.12.2022 г.</w:t>
            </w:r>
          </w:p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Организаторами ярмарки являются ИП Девяткина О.В. и МБУ «Служба обеспечения администрации Дубенского муниципального района Республики Мордовия».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Создание условий для проведения ярмарок по продаже продовольственных товаров и сельскохозяйственной продукции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1.5.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Оборот розничной торговли в расчете на 1 жителя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0.111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0,112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0.111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0,112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0,111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0,112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widowControl w:val="0"/>
              <w:spacing w:after="0" w:line="240" w:lineRule="auto"/>
              <w:ind w:firstLine="45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Инфраструктура торговой сети Дубенского района на  1 января 2023 года имеет 122 </w:t>
            </w:r>
            <w:proofErr w:type="gramStart"/>
            <w:r w:rsidRPr="001E69AF">
              <w:rPr>
                <w:rFonts w:ascii="Times New Roman" w:hAnsi="Times New Roman"/>
              </w:rPr>
              <w:t>стационарных</w:t>
            </w:r>
            <w:proofErr w:type="gramEnd"/>
            <w:r w:rsidRPr="001E69AF">
              <w:rPr>
                <w:rFonts w:ascii="Times New Roman" w:hAnsi="Times New Roman"/>
              </w:rPr>
              <w:t xml:space="preserve"> торговых объекта. Из них – 17 продовольственных, 57 непродовольственных, 48 смешанных магазинов и 5 нестационарных торговых объектов, 11 автолавок.  </w:t>
            </w:r>
            <w:proofErr w:type="gramStart"/>
            <w:r w:rsidRPr="001E69AF">
              <w:rPr>
                <w:rFonts w:ascii="Times New Roman" w:hAnsi="Times New Roman"/>
              </w:rPr>
              <w:t xml:space="preserve">Общая площадь </w:t>
            </w:r>
            <w:r w:rsidRPr="001E69AF">
              <w:rPr>
                <w:rFonts w:ascii="Times New Roman" w:hAnsi="Times New Roman"/>
              </w:rPr>
              <w:lastRenderedPageBreak/>
              <w:t>торговых объектов за 2023 год увеличилась на 240 кв.м. и к концу года составила 12344 кв.м. Также увеличилась и торговая площадь на 194  кв.м. Обеспеченность торговой площадью стационарных торговых объектов в расчете на 1000 человек на 1 января 2023 года составляет 719.72 кв. м., что на 33,08 кв.м. больше прошлого года.</w:t>
            </w:r>
            <w:proofErr w:type="gramEnd"/>
          </w:p>
          <w:p w:rsidR="008E4EE6" w:rsidRPr="001E69AF" w:rsidRDefault="008E4EE6" w:rsidP="00185CB2">
            <w:pPr>
              <w:spacing w:after="0" w:line="240" w:lineRule="auto"/>
              <w:ind w:firstLine="45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 Показатель оборот розничной торговли в расчете на 1 жителя составляет 0,112 тыс</w:t>
            </w:r>
            <w:proofErr w:type="gramStart"/>
            <w:r w:rsidRPr="001E69AF">
              <w:rPr>
                <w:rFonts w:ascii="Times New Roman" w:hAnsi="Times New Roman"/>
              </w:rPr>
              <w:t>.р</w:t>
            </w:r>
            <w:proofErr w:type="gramEnd"/>
            <w:r w:rsidRPr="001E69AF">
              <w:rPr>
                <w:rFonts w:ascii="Times New Roman" w:hAnsi="Times New Roman"/>
              </w:rPr>
              <w:t>уб.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Создание условий для развития конкуренции на рынке розничной торговли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139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  <w:b/>
              </w:rPr>
            </w:pPr>
            <w:r w:rsidRPr="001E69AF">
              <w:rPr>
                <w:rFonts w:ascii="Times New Roman" w:hAnsi="Times New Roman"/>
                <w:b/>
              </w:rPr>
              <w:t>Мероприятия, направленные на обеспечение прозрачности и доступности закупок, товаров, работ, услуг, проводимых с использованием конкурентных способов определения поставщиков (подрядчиков, исполнителей)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2.1.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№44 «О контрактной системе в сфере закупок товаров, работ, услуг для обеспечения государственных и муниципальных нужд», процент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85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86,1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pStyle w:val="Default"/>
              <w:jc w:val="both"/>
              <w:rPr>
                <w:rFonts w:cs="Times New Roman"/>
                <w:sz w:val="22"/>
                <w:szCs w:val="22"/>
              </w:rPr>
            </w:pPr>
            <w:r w:rsidRPr="001E69AF">
              <w:rPr>
                <w:rFonts w:cs="Times New Roman"/>
                <w:sz w:val="22"/>
                <w:szCs w:val="22"/>
              </w:rPr>
              <w:t>85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pStyle w:val="Default"/>
              <w:jc w:val="both"/>
              <w:rPr>
                <w:rFonts w:cs="Times New Roman"/>
                <w:sz w:val="22"/>
                <w:szCs w:val="22"/>
              </w:rPr>
            </w:pPr>
            <w:r w:rsidRPr="001E69AF">
              <w:rPr>
                <w:rFonts w:cs="Times New Roman"/>
                <w:sz w:val="22"/>
                <w:szCs w:val="22"/>
              </w:rPr>
              <w:t>93,4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85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85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В 2022 году всего было объявлено 61 закупочная процедура. Объем закупок осуществляемых у субъектов малого и среднего предпринимательства составляет около 136 млн</w:t>
            </w:r>
            <w:proofErr w:type="gramStart"/>
            <w:r w:rsidRPr="001E69AF">
              <w:rPr>
                <w:rFonts w:ascii="Times New Roman" w:hAnsi="Times New Roman"/>
              </w:rPr>
              <w:t>.р</w:t>
            </w:r>
            <w:proofErr w:type="gramEnd"/>
            <w:r w:rsidRPr="001E69AF">
              <w:rPr>
                <w:rFonts w:ascii="Times New Roman" w:hAnsi="Times New Roman"/>
              </w:rPr>
              <w:t>уб. Общий стоимостной объем закупок осуществляемых в соответствии с  Федеральным законом №44 «О контрактной системе в сфере закупок товаров, работ, услуг для обеспечения государственных и муниципальных нужд» составляет более 159 млн.руб.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Содействие увеличению доли закупок, участниками которых являются только субъекты малого и среднего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2.2.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  <w:iCs/>
              </w:rPr>
              <w:t>Доля совместных закупок (торгов) в общем объеме закупок для муниципальных нужд, процент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22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pStyle w:val="Default"/>
              <w:jc w:val="both"/>
              <w:rPr>
                <w:rFonts w:cs="Times New Roman"/>
                <w:sz w:val="22"/>
                <w:szCs w:val="22"/>
              </w:rPr>
            </w:pPr>
            <w:r w:rsidRPr="001E69AF">
              <w:rPr>
                <w:rFonts w:cs="Times New Roman"/>
                <w:sz w:val="22"/>
                <w:szCs w:val="22"/>
              </w:rPr>
              <w:t>10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pStyle w:val="Default"/>
              <w:jc w:val="both"/>
              <w:rPr>
                <w:rFonts w:cs="Times New Roman"/>
                <w:sz w:val="22"/>
                <w:szCs w:val="22"/>
              </w:rPr>
            </w:pPr>
            <w:r w:rsidRPr="001E69AF"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3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4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За 2022 год было проведено 61 </w:t>
            </w:r>
            <w:proofErr w:type="gramStart"/>
            <w:r w:rsidRPr="001E69AF">
              <w:rPr>
                <w:rFonts w:ascii="Times New Roman" w:hAnsi="Times New Roman"/>
              </w:rPr>
              <w:t>конкурентных</w:t>
            </w:r>
            <w:proofErr w:type="gramEnd"/>
            <w:r w:rsidRPr="001E69AF">
              <w:rPr>
                <w:rFonts w:ascii="Times New Roman" w:hAnsi="Times New Roman"/>
              </w:rPr>
              <w:t xml:space="preserve"> способа определения поставщика (подрядчика, исполнителя), путем проведения аукциона в электронной форме. По </w:t>
            </w:r>
            <w:proofErr w:type="gramStart"/>
            <w:r w:rsidRPr="001E69AF">
              <w:rPr>
                <w:rFonts w:ascii="Times New Roman" w:hAnsi="Times New Roman"/>
              </w:rPr>
              <w:t>результатам</w:t>
            </w:r>
            <w:proofErr w:type="gramEnd"/>
            <w:r w:rsidRPr="001E69AF">
              <w:rPr>
                <w:rFonts w:ascii="Times New Roman" w:hAnsi="Times New Roman"/>
              </w:rPr>
              <w:t xml:space="preserve"> которых заключены 51 контрактов. Из них 2 закупки  являются совместными на сумму 1,3 млн. руб. или 4% </w:t>
            </w:r>
            <w:proofErr w:type="gramStart"/>
            <w:r w:rsidRPr="001E69AF">
              <w:rPr>
                <w:rFonts w:ascii="Times New Roman" w:hAnsi="Times New Roman"/>
              </w:rPr>
              <w:t>об</w:t>
            </w:r>
            <w:proofErr w:type="gramEnd"/>
            <w:r w:rsidRPr="001E69AF">
              <w:rPr>
                <w:rFonts w:ascii="Times New Roman" w:hAnsi="Times New Roman"/>
              </w:rPr>
              <w:t xml:space="preserve"> </w:t>
            </w:r>
            <w:proofErr w:type="gramStart"/>
            <w:r w:rsidRPr="001E69AF">
              <w:rPr>
                <w:rFonts w:ascii="Times New Roman" w:hAnsi="Times New Roman"/>
              </w:rPr>
              <w:t>общего</w:t>
            </w:r>
            <w:proofErr w:type="gramEnd"/>
            <w:r w:rsidRPr="001E69AF">
              <w:rPr>
                <w:rFonts w:ascii="Times New Roman" w:hAnsi="Times New Roman"/>
              </w:rPr>
              <w:t xml:space="preserve"> количества проведенных аукционов.</w:t>
            </w:r>
          </w:p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Показатель выполнен на 133,3%.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rPr>
                <w:rFonts w:ascii="Times New Roman" w:hAnsi="Times New Roman"/>
                <w:iCs/>
              </w:rPr>
            </w:pPr>
            <w:r w:rsidRPr="001E69AF">
              <w:rPr>
                <w:rFonts w:ascii="Times New Roman" w:hAnsi="Times New Roman"/>
                <w:iCs/>
              </w:rPr>
              <w:t xml:space="preserve">Обеспечение прозрачности и доступности закупок товаров, работ и услуг указанными хозяйствующими субъектами, в том числе устранение случаев (снижение количества) применения способа закупки "у единственного поставщика", а </w:t>
            </w:r>
            <w:r w:rsidRPr="001E69AF">
              <w:rPr>
                <w:rFonts w:ascii="Times New Roman" w:hAnsi="Times New Roman"/>
                <w:iCs/>
              </w:rPr>
              <w:lastRenderedPageBreak/>
              <w:t>также применение конкурентных процедур закупок (конкурс, аукцион и др.)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139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widowControl w:val="0"/>
              <w:spacing w:after="0"/>
              <w:ind w:right="-57"/>
              <w:contextualSpacing/>
              <w:jc w:val="center"/>
              <w:textAlignment w:val="baseline"/>
              <w:rPr>
                <w:rFonts w:ascii="Times New Roman" w:eastAsia="SimSun" w:hAnsi="Times New Roman"/>
                <w:b/>
              </w:rPr>
            </w:pPr>
            <w:r w:rsidRPr="001E69AF">
              <w:rPr>
                <w:rFonts w:ascii="Times New Roman" w:eastAsia="SimSun" w:hAnsi="Times New Roman"/>
                <w:b/>
              </w:rPr>
              <w:t>Мероприятия, направленные на устранение избыточного государственного и муниципального регулирования</w:t>
            </w:r>
          </w:p>
          <w:p w:rsidR="008E4EE6" w:rsidRPr="001E69AF" w:rsidRDefault="008E4EE6" w:rsidP="00185CB2">
            <w:pPr>
              <w:widowControl w:val="0"/>
              <w:spacing w:after="0"/>
              <w:ind w:right="-57"/>
              <w:contextualSpacing/>
              <w:jc w:val="center"/>
              <w:textAlignment w:val="baseline"/>
              <w:rPr>
                <w:rFonts w:ascii="Times New Roman" w:eastAsia="SimSun" w:hAnsi="Times New Roman"/>
                <w:b/>
              </w:rPr>
            </w:pPr>
            <w:r w:rsidRPr="001E69AF">
              <w:rPr>
                <w:rFonts w:ascii="Times New Roman" w:eastAsia="SimSun" w:hAnsi="Times New Roman"/>
                <w:b/>
              </w:rPr>
              <w:t>и снижение административных барьеров</w:t>
            </w:r>
          </w:p>
        </w:tc>
      </w:tr>
      <w:tr w:rsidR="008E4EE6" w:rsidRPr="001E69AF" w:rsidTr="00185CB2">
        <w:trPr>
          <w:trHeight w:val="771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3.1.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Среднее число обращений представителей </w:t>
            </w:r>
            <w:proofErr w:type="spellStart"/>
            <w:proofErr w:type="gramStart"/>
            <w:r w:rsidRPr="001E69AF">
              <w:rPr>
                <w:rFonts w:ascii="Times New Roman" w:hAnsi="Times New Roman"/>
              </w:rPr>
              <w:t>бизнес-сообщества</w:t>
            </w:r>
            <w:proofErr w:type="spellEnd"/>
            <w:proofErr w:type="gramEnd"/>
            <w:r w:rsidRPr="001E69AF">
              <w:rPr>
                <w:rFonts w:ascii="Times New Roman" w:hAnsi="Times New Roman"/>
              </w:rPr>
              <w:t xml:space="preserve"> в орган местного самоуправления для получения одной муниципальной  услуги, связанной со сферой предпринимательской деятельности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tabs>
                <w:tab w:val="left" w:pos="299"/>
                <w:tab w:val="center" w:pos="377"/>
              </w:tabs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ab/>
              <w:t>4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4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За 2022 год.  поступ</w:t>
            </w:r>
            <w:r>
              <w:rPr>
                <w:rFonts w:ascii="Times New Roman" w:hAnsi="Times New Roman"/>
              </w:rPr>
              <w:t>и</w:t>
            </w:r>
            <w:r w:rsidRPr="001E69AF">
              <w:rPr>
                <w:rFonts w:ascii="Times New Roman" w:hAnsi="Times New Roman"/>
              </w:rPr>
              <w:t>ли 4 обращения  от бизнес сообщества</w:t>
            </w:r>
            <w:proofErr w:type="gramStart"/>
            <w:r w:rsidRPr="001E69AF">
              <w:rPr>
                <w:rFonts w:ascii="Times New Roman" w:hAnsi="Times New Roman"/>
              </w:rPr>
              <w:t xml:space="preserve"> .</w:t>
            </w:r>
            <w:proofErr w:type="gramEnd"/>
          </w:p>
        </w:tc>
      </w:tr>
      <w:tr w:rsidR="008E4EE6" w:rsidRPr="001E69AF" w:rsidTr="00185CB2">
        <w:trPr>
          <w:trHeight w:val="278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Необходимость оптимизации процессов предоставления государственных услуг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3.2.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Количество положительных экспертных заключений на проекты НПА по воздействию на состояние конкуренции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Все проекты нормативно правовых актов  администрации Дубенского муниципального района подлежат оценке регулирующего воздействия. Показатель  Количество положительных экспертных заключений на проекты НПА по воздействию на состояние конкуренции в 2022 году выполнен на 100%.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т.ч. избыточных функций, и их оптимизация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3.3.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Уровень удовлетворенности граждан качеством предоставления муниципальных услуг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90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90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90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90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90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90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Система электронного управления очередью отсутствует. При обращении заявителей очередь не создается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Осуществление мониторинга качества предоставления </w:t>
            </w:r>
            <w:r w:rsidRPr="001E69AF">
              <w:rPr>
                <w:rFonts w:ascii="Times New Roman" w:hAnsi="Times New Roman"/>
              </w:rPr>
              <w:lastRenderedPageBreak/>
              <w:t>государственных и муниципальных услуг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139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1E69AF">
              <w:rPr>
                <w:rFonts w:ascii="Times New Roman" w:hAnsi="Times New Roman"/>
                <w:b/>
              </w:rPr>
              <w:t>Мероприятия, направленные на совершенствование процессов управления объектами муниципальной собственности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4.1.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Количество субъектов малого и среднего предпринимательства, получивших «муниципальную»    государственную  поддержку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3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3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2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7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8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1E69AF">
              <w:rPr>
                <w:rFonts w:ascii="Times New Roman" w:hAnsi="Times New Roman"/>
              </w:rPr>
              <w:t xml:space="preserve">В 2022 году 3 индивидуальных предпринимателя получили </w:t>
            </w:r>
            <w:proofErr w:type="spellStart"/>
            <w:r w:rsidRPr="001E69AF">
              <w:rPr>
                <w:rFonts w:ascii="Times New Roman" w:hAnsi="Times New Roman"/>
              </w:rPr>
              <w:t>микрозаймы</w:t>
            </w:r>
            <w:proofErr w:type="spellEnd"/>
            <w:r w:rsidRPr="001E69AF">
              <w:rPr>
                <w:rFonts w:ascii="Times New Roman" w:hAnsi="Times New Roman"/>
              </w:rPr>
              <w:t xml:space="preserve"> от  МКК Фонд поддержки предпринимательства РМ в размере 6082,0 тыс. руб., 4 предпринимателя заключили социальный контракт на развитие бизнеса через ГКУ «Социальная защита населения по Дубенскому району». </w:t>
            </w:r>
            <w:proofErr w:type="gramEnd"/>
          </w:p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Администрацией Дубенского муниципального района  оказывалась  консультационная  поддержка.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Создание условий для развития конкуренции на рынке розничной торговли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4.2.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Количество проведенных мероприятий по вопросам развития субъектов малого и среднего предпринимательства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В течени</w:t>
            </w:r>
            <w:proofErr w:type="gramStart"/>
            <w:r w:rsidRPr="001E69AF">
              <w:rPr>
                <w:rFonts w:ascii="Times New Roman" w:hAnsi="Times New Roman"/>
              </w:rPr>
              <w:t>и</w:t>
            </w:r>
            <w:proofErr w:type="gramEnd"/>
            <w:r w:rsidRPr="001E69AF">
              <w:rPr>
                <w:rFonts w:ascii="Times New Roman" w:hAnsi="Times New Roman"/>
              </w:rPr>
              <w:t xml:space="preserve"> года проводились мероприятия по развитию субъектов </w:t>
            </w:r>
            <w:proofErr w:type="spellStart"/>
            <w:r w:rsidRPr="001E69AF">
              <w:rPr>
                <w:rFonts w:ascii="Times New Roman" w:hAnsi="Times New Roman"/>
              </w:rPr>
              <w:t>мсп</w:t>
            </w:r>
            <w:proofErr w:type="spellEnd"/>
            <w:r w:rsidRPr="001E69AF">
              <w:rPr>
                <w:rFonts w:ascii="Times New Roman" w:hAnsi="Times New Roman"/>
              </w:rPr>
              <w:t xml:space="preserve"> в разных форматах:</w:t>
            </w:r>
          </w:p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- встречи в актовом зале администрации с представителями фонда поддержки предпринимательства РМ и центра «Мой бизнес».</w:t>
            </w:r>
          </w:p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- семинары в режиме ВКС с министерством экономики, торговли и предпринимательства РМ,  с представителями «Честный знак» по вопросам реализации  маркированной продукции, обучение «Рост продаж на </w:t>
            </w:r>
            <w:proofErr w:type="spellStart"/>
            <w:r w:rsidRPr="001E69AF">
              <w:rPr>
                <w:rFonts w:ascii="Times New Roman" w:hAnsi="Times New Roman"/>
              </w:rPr>
              <w:t>маркетплейсах</w:t>
            </w:r>
            <w:proofErr w:type="spellEnd"/>
            <w:r w:rsidRPr="001E69AF">
              <w:rPr>
                <w:rFonts w:ascii="Times New Roman" w:hAnsi="Times New Roman"/>
              </w:rPr>
              <w:t>, с  центром «Мой бизнес» и Гарантийного фонда предпринимательства по вопросам мер поддержки реализуемых на территории РМ.</w:t>
            </w:r>
          </w:p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Всего в  2022 году состоялись 5 мероприятий по развитию субъектов малого и среднего предпринимательства.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Проведение круглых столов, совещаний и иных мероприятий по вопросам развития субъектов малого и среднего предпринимательства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4.3.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gramStart"/>
            <w:r w:rsidRPr="001E69AF">
              <w:rPr>
                <w:rFonts w:ascii="Times New Roman" w:hAnsi="Times New Roman"/>
              </w:rPr>
              <w:t xml:space="preserve">Количество субъектов </w:t>
            </w:r>
            <w:proofErr w:type="spellStart"/>
            <w:r w:rsidRPr="001E69AF">
              <w:rPr>
                <w:rFonts w:ascii="Times New Roman" w:hAnsi="Times New Roman"/>
              </w:rPr>
              <w:t>мсп</w:t>
            </w:r>
            <w:proofErr w:type="spellEnd"/>
            <w:r w:rsidRPr="001E69AF">
              <w:rPr>
                <w:rFonts w:ascii="Times New Roman" w:hAnsi="Times New Roman"/>
              </w:rPr>
              <w:t xml:space="preserve"> обратившихся за информационно-консультативной поддержки</w:t>
            </w:r>
            <w:proofErr w:type="gramEnd"/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11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10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За 2022 год обратилось 10 субъектов МСП за консультационно-информационной поддержкой.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Оказание информационно-консультативной поддержки </w:t>
            </w:r>
            <w:r w:rsidRPr="001E69AF">
              <w:rPr>
                <w:rFonts w:ascii="Times New Roman" w:hAnsi="Times New Roman"/>
              </w:rPr>
              <w:lastRenderedPageBreak/>
              <w:t xml:space="preserve">субъектам малого и среднего предпринимательства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lastRenderedPageBreak/>
              <w:t>4.4.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Количество проводимых семинаров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4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4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4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4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ind w:firstLine="319"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В 2022 г по вопросам предпринимательской деятельности проводилось 5 семинаров разных форматов. Это  и семинары с выездом предпринимателей в г</w:t>
            </w:r>
            <w:proofErr w:type="gramStart"/>
            <w:r w:rsidRPr="001E69AF">
              <w:rPr>
                <w:rFonts w:ascii="Times New Roman" w:hAnsi="Times New Roman"/>
              </w:rPr>
              <w:t>.С</w:t>
            </w:r>
            <w:proofErr w:type="gramEnd"/>
            <w:r w:rsidRPr="001E69AF">
              <w:rPr>
                <w:rFonts w:ascii="Times New Roman" w:hAnsi="Times New Roman"/>
              </w:rPr>
              <w:t>аранск, и  участие в форумах, круглых столах, тренингах и прочих мероприятиях проводимых через ВКС представителями министерств РМ и центра поддержки предпринимательства.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Участие предпринимателей района в республиканских семинарах, форумах, круглых столах, тренингах и прочих мероприятиях по вопросам предпринимательской деятельности</w:t>
            </w:r>
          </w:p>
          <w:p w:rsidR="008E4EE6" w:rsidRPr="001E69AF" w:rsidRDefault="008E4EE6" w:rsidP="00185CB2">
            <w:pPr>
              <w:rPr>
                <w:rFonts w:ascii="Times New Roman" w:hAnsi="Times New Roman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</w:t>
            </w:r>
          </w:p>
        </w:tc>
        <w:tc>
          <w:tcPr>
            <w:tcW w:w="139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  <w:b/>
              </w:rPr>
            </w:pPr>
            <w:r w:rsidRPr="001E69AF">
              <w:rPr>
                <w:rFonts w:ascii="Times New Roman" w:hAnsi="Times New Roman"/>
                <w:b/>
              </w:rPr>
              <w:t>Мероприятия, направленные на обучение государственных гражданских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5.1.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Недопущение количества нарушений антимонопольного законодательства со стороны органов государственной власти и органов местного самоуправления к 2020 году не менее чем в 2 раза по сравнению с 2017 годом, процент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0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1E69AF">
              <w:rPr>
                <w:rFonts w:ascii="Times New Roman" w:hAnsi="Times New Roman"/>
              </w:rPr>
              <w:t>В  2022 году в нарушений антимонопольного законодательства отсутствуют.</w:t>
            </w:r>
            <w:proofErr w:type="gramEnd"/>
          </w:p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Было  проведено обучающее  мероприятие  и рассмотрены рекомендации органам местного самоуправления о применении комплекса мер, направленных на предотвращение и профилактику нарушений антимонопольного законодательства.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Реализация мероприятий, связанных с нарушением антимонопольного законодательства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5.2.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Наличие утвержденных внутренних актов об </w:t>
            </w:r>
            <w:proofErr w:type="gramStart"/>
            <w:r w:rsidRPr="001E69AF">
              <w:rPr>
                <w:rFonts w:ascii="Times New Roman" w:hAnsi="Times New Roman"/>
              </w:rPr>
              <w:t>антимонопольном</w:t>
            </w:r>
            <w:proofErr w:type="gramEnd"/>
            <w:r w:rsidRPr="001E69AF">
              <w:rPr>
                <w:rFonts w:ascii="Times New Roman" w:hAnsi="Times New Roman"/>
              </w:rPr>
              <w:t xml:space="preserve"> </w:t>
            </w:r>
            <w:proofErr w:type="spellStart"/>
            <w:r w:rsidRPr="001E69AF">
              <w:rPr>
                <w:rFonts w:ascii="Times New Roman" w:hAnsi="Times New Roman"/>
              </w:rPr>
              <w:t>комплаенсе</w:t>
            </w:r>
            <w:proofErr w:type="spellEnd"/>
            <w:r w:rsidRPr="001E69AF">
              <w:rPr>
                <w:rFonts w:ascii="Times New Roman" w:hAnsi="Times New Roman"/>
              </w:rPr>
              <w:t xml:space="preserve">, дорожной карты, плана мероприятий, доклада об </w:t>
            </w:r>
            <w:r w:rsidRPr="001E69AF">
              <w:rPr>
                <w:rFonts w:ascii="Times New Roman" w:hAnsi="Times New Roman"/>
              </w:rPr>
              <w:lastRenderedPageBreak/>
              <w:t xml:space="preserve">антимонопольном </w:t>
            </w:r>
            <w:proofErr w:type="spellStart"/>
            <w:r w:rsidRPr="001E69AF">
              <w:rPr>
                <w:rFonts w:ascii="Times New Roman" w:hAnsi="Times New Roman"/>
              </w:rPr>
              <w:t>комплаенсе</w:t>
            </w:r>
            <w:proofErr w:type="spellEnd"/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lastRenderedPageBreak/>
              <w:t>да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да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да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да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да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да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jc w:val="both"/>
              <w:rPr>
                <w:rFonts w:ascii="Times New Roman" w:hAnsi="Times New Roman"/>
                <w:spacing w:val="4"/>
              </w:rPr>
            </w:pPr>
            <w:r w:rsidRPr="001E69AF">
              <w:rPr>
                <w:rFonts w:ascii="Times New Roman" w:hAnsi="Times New Roman"/>
                <w:spacing w:val="4"/>
              </w:rPr>
              <w:t>Утвержденные нормативно-правовые акты имеются.</w:t>
            </w:r>
          </w:p>
          <w:p w:rsidR="008E4EE6" w:rsidRPr="001E69AF" w:rsidRDefault="008E4EE6" w:rsidP="00185CB2">
            <w:pPr>
              <w:spacing w:after="0" w:line="240" w:lineRule="auto"/>
              <w:ind w:firstLine="319"/>
              <w:jc w:val="both"/>
              <w:rPr>
                <w:rFonts w:ascii="Times New Roman" w:hAnsi="Times New Roman"/>
                <w:spacing w:val="4"/>
                <w:u w:val="single"/>
              </w:rPr>
            </w:pPr>
            <w:r w:rsidRPr="001E69AF">
              <w:rPr>
                <w:rFonts w:ascii="Times New Roman" w:hAnsi="Times New Roman"/>
                <w:spacing w:val="4"/>
              </w:rPr>
              <w:t xml:space="preserve">Все НПА размещены на официальном сайте администрации Дубенского муниципального района в разделе </w:t>
            </w:r>
            <w:r w:rsidRPr="001E69AF">
              <w:rPr>
                <w:rFonts w:ascii="Times New Roman" w:hAnsi="Times New Roman"/>
                <w:spacing w:val="4"/>
              </w:rPr>
              <w:lastRenderedPageBreak/>
              <w:t>«</w:t>
            </w:r>
            <w:proofErr w:type="gramStart"/>
            <w:r w:rsidRPr="001E69AF">
              <w:rPr>
                <w:rFonts w:ascii="Times New Roman" w:hAnsi="Times New Roman"/>
                <w:spacing w:val="4"/>
              </w:rPr>
              <w:t>Антимонопольный</w:t>
            </w:r>
            <w:proofErr w:type="gramEnd"/>
            <w:r w:rsidRPr="001E69AF">
              <w:rPr>
                <w:rFonts w:ascii="Times New Roman" w:hAnsi="Times New Roman"/>
                <w:spacing w:val="4"/>
              </w:rPr>
              <w:t xml:space="preserve"> </w:t>
            </w:r>
            <w:proofErr w:type="spellStart"/>
            <w:r w:rsidRPr="001E69AF">
              <w:rPr>
                <w:rFonts w:ascii="Times New Roman" w:hAnsi="Times New Roman"/>
                <w:spacing w:val="4"/>
              </w:rPr>
              <w:t>компла</w:t>
            </w:r>
            <w:r w:rsidRPr="001E69AF">
              <w:rPr>
                <w:rFonts w:ascii="Times New Roman" w:hAnsi="Times New Roman"/>
                <w:spacing w:val="4"/>
                <w:u w:val="single"/>
              </w:rPr>
              <w:t>енс</w:t>
            </w:r>
            <w:proofErr w:type="spellEnd"/>
            <w:r w:rsidRPr="001E69AF">
              <w:rPr>
                <w:rFonts w:ascii="Times New Roman" w:hAnsi="Times New Roman"/>
                <w:spacing w:val="4"/>
                <w:u w:val="single"/>
              </w:rPr>
              <w:t>»</w:t>
            </w:r>
          </w:p>
          <w:p w:rsidR="008E4EE6" w:rsidRPr="001E69AF" w:rsidRDefault="008E4EE6" w:rsidP="00185CB2">
            <w:pPr>
              <w:spacing w:after="0" w:line="240" w:lineRule="auto"/>
              <w:ind w:firstLine="319"/>
              <w:jc w:val="both"/>
              <w:rPr>
                <w:rFonts w:ascii="Times New Roman" w:hAnsi="Times New Roman"/>
                <w:spacing w:val="4"/>
                <w:u w:val="single"/>
              </w:rPr>
            </w:pPr>
          </w:p>
          <w:p w:rsidR="008E4EE6" w:rsidRPr="001E69AF" w:rsidRDefault="008E4EE6" w:rsidP="00185CB2">
            <w:pPr>
              <w:spacing w:after="0" w:line="240" w:lineRule="auto"/>
              <w:ind w:firstLine="319"/>
              <w:jc w:val="both"/>
              <w:rPr>
                <w:rFonts w:ascii="Times New Roman" w:hAnsi="Times New Roman"/>
                <w:b/>
                <w:u w:val="single"/>
              </w:rPr>
            </w:pPr>
            <w:r w:rsidRPr="001E69AF">
              <w:rPr>
                <w:rFonts w:ascii="Times New Roman" w:hAnsi="Times New Roman"/>
                <w:spacing w:val="4"/>
                <w:u w:val="single"/>
              </w:rPr>
              <w:t xml:space="preserve"> </w:t>
            </w:r>
            <w:hyperlink r:id="rId4" w:history="1">
              <w:r w:rsidRPr="001E69AF">
                <w:rPr>
                  <w:rStyle w:val="a7"/>
                  <w:rFonts w:ascii="Times New Roman" w:eastAsiaTheme="minorEastAsia" w:hAnsi="Times New Roman"/>
                  <w:b/>
                </w:rPr>
                <w:t>https://dubenki-rm.ru/newsline/view/6041</w:t>
              </w:r>
            </w:hyperlink>
          </w:p>
          <w:p w:rsidR="008E4EE6" w:rsidRPr="001E69AF" w:rsidRDefault="008E4EE6" w:rsidP="00185CB2">
            <w:pPr>
              <w:spacing w:after="0" w:line="240" w:lineRule="auto"/>
              <w:ind w:firstLine="319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both"/>
              <w:rPr>
                <w:rFonts w:ascii="Times New Roman" w:hAnsi="Times New Roman"/>
              </w:rPr>
            </w:pPr>
            <w:proofErr w:type="gramStart"/>
            <w:r w:rsidRPr="001E69AF">
              <w:rPr>
                <w:rFonts w:ascii="Times New Roman" w:hAnsi="Times New Roman"/>
              </w:rPr>
              <w:t xml:space="preserve">Разработка и утверждение внутренних актов муниципального образования об антимонопольном </w:t>
            </w:r>
            <w:proofErr w:type="spellStart"/>
            <w:r w:rsidRPr="001E69AF">
              <w:rPr>
                <w:rFonts w:ascii="Times New Roman" w:hAnsi="Times New Roman"/>
              </w:rPr>
              <w:t>комплаенсе</w:t>
            </w:r>
            <w:proofErr w:type="spellEnd"/>
            <w:r w:rsidRPr="001E69AF">
              <w:rPr>
                <w:rFonts w:ascii="Times New Roman" w:hAnsi="Times New Roman"/>
              </w:rPr>
              <w:t xml:space="preserve">  и их размещение на официальном сайте администрации Дубенского муниципального района</w:t>
            </w:r>
            <w:proofErr w:type="gramEnd"/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6</w:t>
            </w:r>
          </w:p>
        </w:tc>
        <w:tc>
          <w:tcPr>
            <w:tcW w:w="139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  <w:b/>
              </w:rPr>
              <w:t>Дополнительные мероприятия, направленные на развитие конкурентной среды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6.1.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Доля выполненных мероприятий, обеспечивающих достижение установленных результатов, предусмотренных стратегическими  документами, в том числе по развитию конкуренции и улучшению инвестиционного климата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90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90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91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91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90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91,2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Выполнение мероприятий, обеспечивающих достижение установленных результатов, предусмотренных стратегическими  документами, в том числе по развитию конкуренции и улучшению инвестиционного климата составляет 90%. 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Всего 18  системных мероприятий. Процент выполнения составляет 100%.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 xml:space="preserve">По </w:t>
            </w:r>
            <w:proofErr w:type="gramStart"/>
            <w:r w:rsidRPr="001E69AF">
              <w:rPr>
                <w:rFonts w:ascii="Times New Roman" w:hAnsi="Times New Roman"/>
              </w:rPr>
              <w:t>товарным</w:t>
            </w:r>
            <w:proofErr w:type="gramEnd"/>
            <w:r w:rsidRPr="001E69AF">
              <w:rPr>
                <w:rFonts w:ascii="Times New Roman" w:hAnsi="Times New Roman"/>
              </w:rPr>
              <w:t xml:space="preserve"> рынка всего 16 мероприятий, из них выполнено 13 мероприятий, процент выполнения составляет 81,3%.</w:t>
            </w:r>
          </w:p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Общий процент выполнения равен 91,2%.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  <w:color w:val="333333"/>
              </w:rPr>
              <w:t xml:space="preserve">Реализация мероприятий, предусмотренных стратегическими документами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6.2.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pStyle w:val="a3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Cs w:val="22"/>
              </w:rPr>
            </w:pPr>
            <w:r w:rsidRPr="001E69AF">
              <w:rPr>
                <w:rFonts w:ascii="Times New Roman" w:hAnsi="Times New Roman"/>
                <w:szCs w:val="22"/>
              </w:rPr>
              <w:t>Мониторинг состояния конкурентной среды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1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Мониторинг состояния конкурентной среды проводится. Показатель исполнен на 100%.</w:t>
            </w:r>
          </w:p>
        </w:tc>
      </w:tr>
      <w:tr w:rsidR="008E4EE6" w:rsidRPr="001E69AF" w:rsidTr="00185CB2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1E69AF">
              <w:rPr>
                <w:rFonts w:ascii="Times New Roman" w:hAnsi="Times New Roman"/>
              </w:rPr>
              <w:t>Содействие  в проведении мониторинга состояния конкурентной среды на приоритетных и социально значимых рынках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EE6" w:rsidRPr="001E69AF" w:rsidRDefault="008E4EE6" w:rsidP="00185CB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</w:tbl>
    <w:p w:rsidR="008E4EE6" w:rsidRDefault="008E4EE6" w:rsidP="008E4EE6"/>
    <w:p w:rsidR="008E4EE6" w:rsidRDefault="008E4EE6" w:rsidP="008E4EE6">
      <w:pPr>
        <w:pStyle w:val="a3"/>
        <w:spacing w:after="0" w:line="240" w:lineRule="auto"/>
        <w:ind w:left="0"/>
      </w:pPr>
    </w:p>
    <w:p w:rsidR="00660AF5" w:rsidRDefault="00660AF5"/>
    <w:sectPr w:rsidR="00660AF5" w:rsidSect="0075487C">
      <w:pgSz w:w="16838" w:h="11906" w:orient="landscape"/>
      <w:pgMar w:top="709" w:right="1134" w:bottom="649" w:left="1200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E4EE6"/>
    <w:rsid w:val="004250ED"/>
    <w:rsid w:val="00660AF5"/>
    <w:rsid w:val="008E4EE6"/>
    <w:rsid w:val="00C30437"/>
    <w:rsid w:val="00E36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4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E4EE6"/>
    <w:pPr>
      <w:ind w:left="72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a4">
    <w:name w:val="Абзац списка Знак"/>
    <w:basedOn w:val="a0"/>
    <w:link w:val="a3"/>
    <w:uiPriority w:val="34"/>
    <w:rsid w:val="008E4EE6"/>
    <w:rPr>
      <w:rFonts w:ascii="Calibri" w:eastAsia="Times New Roman" w:hAnsi="Calibri" w:cs="Times New Roman"/>
      <w:color w:val="000000"/>
      <w:szCs w:val="20"/>
    </w:rPr>
  </w:style>
  <w:style w:type="paragraph" w:styleId="a5">
    <w:name w:val="Body Text"/>
    <w:basedOn w:val="a"/>
    <w:link w:val="a6"/>
    <w:rsid w:val="008E4EE6"/>
    <w:pPr>
      <w:spacing w:after="12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a6">
    <w:name w:val="Основной текст Знак"/>
    <w:basedOn w:val="a0"/>
    <w:link w:val="a5"/>
    <w:rsid w:val="008E4EE6"/>
    <w:rPr>
      <w:rFonts w:ascii="Calibri" w:eastAsia="Times New Roman" w:hAnsi="Calibri" w:cs="Times New Roman"/>
      <w:color w:val="000000"/>
      <w:szCs w:val="20"/>
    </w:rPr>
  </w:style>
  <w:style w:type="paragraph" w:customStyle="1" w:styleId="2">
    <w:name w:val="Гиперссылка2"/>
    <w:link w:val="a7"/>
    <w:rsid w:val="008E4EE6"/>
    <w:pPr>
      <w:spacing w:after="0"/>
    </w:pPr>
    <w:rPr>
      <w:rFonts w:ascii="Calibri" w:eastAsia="Times New Roman" w:hAnsi="Calibri" w:cs="Times New Roman"/>
      <w:color w:val="0000FF"/>
      <w:szCs w:val="20"/>
      <w:u w:val="single"/>
    </w:rPr>
  </w:style>
  <w:style w:type="character" w:styleId="a7">
    <w:name w:val="Hyperlink"/>
    <w:link w:val="2"/>
    <w:rsid w:val="008E4EE6"/>
    <w:rPr>
      <w:rFonts w:ascii="Calibri" w:eastAsia="Times New Roman" w:hAnsi="Calibri" w:cs="Times New Roman"/>
      <w:color w:val="0000FF"/>
      <w:szCs w:val="20"/>
      <w:u w:val="single"/>
    </w:rPr>
  </w:style>
  <w:style w:type="paragraph" w:customStyle="1" w:styleId="Default">
    <w:name w:val="Default"/>
    <w:qFormat/>
    <w:rsid w:val="008E4EE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eastAsia="en-US" w:bidi="en-US"/>
    </w:rPr>
  </w:style>
  <w:style w:type="paragraph" w:styleId="a8">
    <w:name w:val="No Spacing"/>
    <w:uiPriority w:val="99"/>
    <w:qFormat/>
    <w:rsid w:val="008E4EE6"/>
    <w:pPr>
      <w:spacing w:after="0" w:line="240" w:lineRule="auto"/>
    </w:pPr>
    <w:rPr>
      <w:rFonts w:eastAsiaTheme="minorHAns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ubenki-rm.ru/newsline/view/60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4472</Words>
  <Characters>25492</Characters>
  <Application>Microsoft Office Word</Application>
  <DocSecurity>0</DocSecurity>
  <Lines>212</Lines>
  <Paragraphs>59</Paragraphs>
  <ScaleCrop>false</ScaleCrop>
  <Company/>
  <LinksUpToDate>false</LinksUpToDate>
  <CharactersWithSpaces>29905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2023-02-08T06:17:00Z</dcterms:created>
  <dcterms:modified xsi:type="dcterms:W3CDTF">2023-02-08T06:22:00Z</dcterms:modified>
</cp:coreProperties>
</file>