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B0" w:rsidRPr="00BD3738" w:rsidRDefault="004E6BB0" w:rsidP="00BD3738">
      <w:pPr>
        <w:shd w:val="clear" w:color="auto" w:fill="FFFFFF"/>
        <w:tabs>
          <w:tab w:val="left" w:leader="underscore" w:pos="978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Информационный бюллетень </w:t>
      </w:r>
      <w:r w:rsidRPr="00BD3738">
        <w:rPr>
          <w:rFonts w:ascii="Times New Roman" w:hAnsi="Times New Roman" w:cs="Times New Roman"/>
          <w:b/>
          <w:bCs/>
          <w:sz w:val="24"/>
          <w:szCs w:val="24"/>
        </w:rPr>
        <w:t xml:space="preserve">Чеберчинского </w:t>
      </w:r>
      <w:r w:rsidRPr="00BD3738">
        <w:rPr>
          <w:rFonts w:ascii="Times New Roman" w:hAnsi="Times New Roman" w:cs="Times New Roman"/>
          <w:b/>
          <w:bCs/>
          <w:spacing w:val="-11"/>
          <w:sz w:val="24"/>
          <w:szCs w:val="24"/>
        </w:rPr>
        <w:t>сельского поселения</w:t>
      </w:r>
    </w:p>
    <w:p w:rsidR="004E6BB0" w:rsidRPr="00BD3738" w:rsidRDefault="004E6BB0" w:rsidP="00BD3738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b/>
          <w:bCs/>
          <w:spacing w:val="-11"/>
          <w:sz w:val="24"/>
          <w:szCs w:val="24"/>
        </w:rPr>
        <w:t>Дубенского муниципального района Республики Мордовия</w:t>
      </w:r>
    </w:p>
    <w:p w:rsidR="004E6BB0" w:rsidRPr="00BD3738" w:rsidRDefault="004E6BB0" w:rsidP="00BD3738">
      <w:pPr>
        <w:shd w:val="clear" w:color="auto" w:fill="FFFFFF"/>
        <w:rPr>
          <w:rFonts w:ascii="Times New Roman" w:hAnsi="Times New Roman" w:cs="Times New Roman"/>
          <w:spacing w:val="-10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>Является официальным печатным</w:t>
      </w:r>
    </w:p>
    <w:p w:rsidR="004E6BB0" w:rsidRPr="00BD3738" w:rsidRDefault="004E6BB0" w:rsidP="00BD3738">
      <w:pPr>
        <w:shd w:val="clear" w:color="auto" w:fill="FFFFFF"/>
        <w:tabs>
          <w:tab w:val="left" w:leader="underscore" w:pos="3322"/>
        </w:tabs>
        <w:ind w:left="10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3"/>
          <w:sz w:val="24"/>
          <w:szCs w:val="24"/>
        </w:rPr>
        <w:t xml:space="preserve">изданием </w:t>
      </w:r>
      <w:r w:rsidRPr="00BD3738">
        <w:rPr>
          <w:rFonts w:ascii="Times New Roman" w:hAnsi="Times New Roman" w:cs="Times New Roman"/>
          <w:sz w:val="24"/>
          <w:szCs w:val="24"/>
        </w:rPr>
        <w:t xml:space="preserve">Чеберчинского </w:t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сельского поселения</w:t>
      </w:r>
    </w:p>
    <w:p w:rsidR="004E6BB0" w:rsidRPr="00BD3738" w:rsidRDefault="004E6BB0" w:rsidP="00BD3738">
      <w:pPr>
        <w:shd w:val="clear" w:color="auto" w:fill="FFFFFF"/>
        <w:ind w:left="370" w:right="5280" w:hanging="370"/>
        <w:rPr>
          <w:rFonts w:ascii="Times New Roman" w:hAnsi="Times New Roman" w:cs="Times New Roman"/>
          <w:spacing w:val="-12"/>
          <w:sz w:val="24"/>
          <w:szCs w:val="24"/>
        </w:rPr>
      </w:pPr>
      <w:r w:rsidRPr="00BD3738">
        <w:rPr>
          <w:rFonts w:ascii="Times New Roman" w:hAnsi="Times New Roman" w:cs="Times New Roman"/>
          <w:spacing w:val="-12"/>
          <w:sz w:val="24"/>
          <w:szCs w:val="24"/>
        </w:rPr>
        <w:t>Дубенского муниципального района РМ</w:t>
      </w:r>
    </w:p>
    <w:p w:rsidR="004E6BB0" w:rsidRDefault="004E6BB0" w:rsidP="00BD3738">
      <w:pPr>
        <w:shd w:val="clear" w:color="auto" w:fill="FFFFFF"/>
        <w:ind w:left="370" w:right="5280" w:hanging="370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b/>
          <w:bCs/>
          <w:sz w:val="24"/>
          <w:szCs w:val="24"/>
        </w:rPr>
        <w:t xml:space="preserve">30.12.2013 </w:t>
      </w:r>
      <w:r w:rsidRPr="00BD3738">
        <w:rPr>
          <w:rFonts w:ascii="Times New Roman" w:hAnsi="Times New Roman" w:cs="Times New Roman"/>
          <w:sz w:val="24"/>
          <w:szCs w:val="24"/>
        </w:rPr>
        <w:t>№ 28(174)</w:t>
      </w:r>
    </w:p>
    <w:p w:rsidR="004E6BB0" w:rsidRPr="00BD3738" w:rsidRDefault="004E6BB0" w:rsidP="00BD3738">
      <w:pPr>
        <w:shd w:val="clear" w:color="auto" w:fill="FFFFFF"/>
        <w:ind w:left="370" w:right="5280" w:hanging="370"/>
        <w:rPr>
          <w:rFonts w:ascii="Times New Roman" w:hAnsi="Times New Roman" w:cs="Times New Roman"/>
          <w:sz w:val="24"/>
          <w:szCs w:val="24"/>
        </w:rPr>
      </w:pPr>
    </w:p>
    <w:p w:rsidR="004E6BB0" w:rsidRDefault="004E6BB0" w:rsidP="00BD3738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Пособие уволенным во время декрета женщинам будет увеличено</w:t>
      </w:r>
    </w:p>
    <w:p w:rsidR="004E6BB0" w:rsidRPr="00BD3738" w:rsidRDefault="004E6BB0" w:rsidP="00BD3738">
      <w:pPr>
        <w:shd w:val="clear" w:color="auto" w:fill="FFFFFF"/>
        <w:ind w:right="19"/>
        <w:jc w:val="center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5" w:right="2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Такие поправки регламентированы постановлением Правительства Российской Федера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ции от 13.09.2013 № 802 «О внесении изменений в постановление Правительства Российской Федерации от 29.12.2009 №1100».</w:t>
      </w:r>
    </w:p>
    <w:p w:rsidR="004E6BB0" w:rsidRPr="00BD3738" w:rsidRDefault="004E6BB0" w:rsidP="00BD3738">
      <w:pPr>
        <w:shd w:val="clear" w:color="auto" w:fill="FFFFFF"/>
        <w:ind w:left="14" w:right="19" w:firstLine="763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Ранее действовал порядок, согласно которому женщинам, уволенным в период отпуска по беременности, родам или уходу за ребенком в связи с ликвидацией предприятия, выплачи</w:t>
      </w:r>
      <w:r w:rsidRPr="00BD3738">
        <w:rPr>
          <w:rFonts w:ascii="Times New Roman" w:hAnsi="Times New Roman" w:cs="Times New Roman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валось ежемесячное пособие по уходу за ребенком, которое не было ограничено максимальным </w:t>
      </w:r>
      <w:r w:rsidRPr="00BD3738">
        <w:rPr>
          <w:rFonts w:ascii="Times New Roman" w:hAnsi="Times New Roman" w:cs="Times New Roman"/>
          <w:sz w:val="24"/>
          <w:szCs w:val="24"/>
        </w:rPr>
        <w:t>размером, однако был ограничен размер среднего дневного заработка, из которого исчислялось пособие. Так, по состоянию на 1 января 2013 года максимальный размер пособия составлял 9 815,71 руб.</w:t>
      </w:r>
    </w:p>
    <w:p w:rsidR="004E6BB0" w:rsidRPr="00BD3738" w:rsidRDefault="004E6BB0" w:rsidP="00BD3738">
      <w:pPr>
        <w:shd w:val="clear" w:color="auto" w:fill="FFFFFF"/>
        <w:ind w:left="29" w:right="10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Новое постановление уточняет, что средний заработок указанной категории матерей будет рассчитываться в соответствии со статьей 139 Трудового кодекса Российской Федерации и постановлением Правительства Российской Федерации от 24.12.2007 № 922 «Об особенно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стях порядка исчисления средней заработной платы».</w:t>
      </w:r>
    </w:p>
    <w:p w:rsidR="004E6BB0" w:rsidRPr="00BD3738" w:rsidRDefault="004E6BB0" w:rsidP="00BD3738">
      <w:pPr>
        <w:shd w:val="clear" w:color="auto" w:fill="FFFFFF"/>
        <w:ind w:left="24" w:right="5" w:firstLine="76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"/>
          <w:sz w:val="24"/>
          <w:szCs w:val="24"/>
        </w:rPr>
        <w:t>Так, средний заработок за день можно определить, разделив сумму, с которой работода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тель за 2 года уплачивал взносы в Фонд социального страхования (максимально облагаемая сумма в настоящее время составляет 568 тысяч рублей в год) на количество дней за 2 года, в течение которых за женщину уплачивались эти взносы (730 дней, если женщина не брала «больничные» и т.д.).</w:t>
      </w:r>
    </w:p>
    <w:p w:rsidR="004E6BB0" w:rsidRDefault="004E6BB0" w:rsidP="00BD3738">
      <w:pPr>
        <w:shd w:val="clear" w:color="auto" w:fill="FFFFFF"/>
        <w:ind w:left="38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Согласно ст. 7 Федерального закона от 19.05.1995 № 81-ФЗ «О государственных посо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биях гражданам, имеющим детей» пособие по беременности и родам вьшлачивается за период отпуска по беременности и родам продолжительностью семьдесят (в случае многоплодной бе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ременности восемьдесят четыре) календарных дней до родов и семьдесят (в случае осложнен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ных родов - восемьдесят шесть, при рождении двух или более детей - сто десять) календарных дней после родов. За этот период - от 140 до 194 дней женщина получит 100 % среднего зара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ботка, а в последующем -пособие по уходу за ребенком, составляющее 40 % среднего заработ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ка.</w:t>
      </w:r>
    </w:p>
    <w:p w:rsidR="004E6BB0" w:rsidRPr="00BD3738" w:rsidRDefault="004E6BB0" w:rsidP="00BD3738">
      <w:pPr>
        <w:shd w:val="clear" w:color="auto" w:fill="FFFFFF"/>
        <w:ind w:left="38" w:firstLine="758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Default="004E6BB0" w:rsidP="00BD3738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Общие вопросы обратной силы уголовного закона</w:t>
      </w:r>
    </w:p>
    <w:p w:rsidR="004E6BB0" w:rsidRPr="00BD3738" w:rsidRDefault="004E6BB0" w:rsidP="00BD3738">
      <w:pPr>
        <w:shd w:val="clear" w:color="auto" w:fill="FFFFFF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19" w:right="2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Если новый уголовный закон смягчает наказание, которое отбывается лицом, то это наказание подлежит сокращению в пределах, предусмотренных новым уголовным законом (ч. 2 ст. 10 УК РФ). Согласно правовой по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зиции Конституционного Суда Российской Федерации, выраженной в постановлении от 20 апреля 2006 года № 4-П, содержащееся в ч.2 ст. 10 УК РФ предписание о смягчении назначенного по приговору суда наказания в грани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цах, предусмотренных новым уголовным законом, предполагает применение общих начал назначения наказания, согласно которым в такого рода случаях смягчение наказания будет осуществляться в пределах, определяемых всей совокупностью норм Уголовного кодекса РФ — как Особенной, так и Общей его частей.</w:t>
      </w:r>
    </w:p>
    <w:p w:rsidR="004E6BB0" w:rsidRDefault="004E6BB0" w:rsidP="00BD3738">
      <w:pPr>
        <w:shd w:val="clear" w:color="auto" w:fill="FFFFFF"/>
        <w:ind w:left="14" w:right="2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 xml:space="preserve">Примером смягчения наказания служит внесенные на основании Федерального закона от 29.11.2012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№207-ФЗ «О внесении изменений в Уголовный кодекс Российской Федерации и отдельные законодательные акты </w:t>
      </w:r>
      <w:r w:rsidRPr="00BD3738">
        <w:rPr>
          <w:rFonts w:ascii="Times New Roman" w:hAnsi="Times New Roman" w:cs="Times New Roman"/>
          <w:sz w:val="24"/>
          <w:szCs w:val="24"/>
        </w:rPr>
        <w:t>Российской Федерации» конкретизации составов преступления мошенничества, а также изменении суммы, со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гласно которой крупным размером в ст. 159.1 и в статьях 159.3, 159.4, 159.5, 159.6 УК РФ признается стоимость имущества, превышающая один миллион пятьсот тысяч рублей, а особо крупным - шесть миллионов рублей.</w:t>
      </w:r>
    </w:p>
    <w:p w:rsidR="004E6BB0" w:rsidRDefault="004E6BB0" w:rsidP="00BD3738">
      <w:pPr>
        <w:shd w:val="clear" w:color="auto" w:fill="FFFFFF"/>
        <w:ind w:left="14" w:right="2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14" w:right="2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29" w:right="2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Так, уголовные дела возбужденные до 10.12.2012 в отношении лиц совершивших хищения имущества в сфере кредитования, в сфере предпринимательской деятельности, в сфере страхования, в сфере компьютерной информации на сумму свыше 250 000 рублей - подпадавшие под признаки ч.З ст. 159 УК РФ, а также в случае хи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щения имущества на сумму свыше 1 000 000 рублей - подпадавших под признаки ч.4 ст. 159 УК РФ, уголовным законом относились по мере наказания к категории тяжких преступлений.</w:t>
      </w:r>
    </w:p>
    <w:p w:rsidR="004E6BB0" w:rsidRPr="00BD3738" w:rsidRDefault="004E6BB0" w:rsidP="00BD3738">
      <w:pPr>
        <w:shd w:val="clear" w:color="auto" w:fill="FFFFFF"/>
        <w:ind w:left="34" w:right="1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В настоящее время, деяния лиц совершивших вышеуказанные преступления, по уголовным делам, на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 xml:space="preserve">правленным в суд для рассмотрения по существу, подлежат последующей переквалификации на части 1 статей 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 xml:space="preserve">159.1, 159.3,159.4,159,5, 159.6 УК РФ соответственно. Причина данной необходимости вытекает из толкования ч.2 </w:t>
      </w:r>
      <w:r w:rsidRPr="00BD3738">
        <w:rPr>
          <w:rFonts w:ascii="Times New Roman" w:hAnsi="Times New Roman" w:cs="Times New Roman"/>
          <w:sz w:val="24"/>
          <w:szCs w:val="24"/>
        </w:rPr>
        <w:t>ст. 10 УК РФ - при решении вопроса о наказании следует исполнение лишь одного правила - о снижении назна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ченного наказания до верхнего предела санкции соответствующей статьи Особенной части УК РФ в редакции но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вого закона.</w:t>
      </w:r>
    </w:p>
    <w:p w:rsidR="004E6BB0" w:rsidRPr="00BD3738" w:rsidRDefault="004E6BB0" w:rsidP="00BD3738">
      <w:pPr>
        <w:shd w:val="clear" w:color="auto" w:fill="FFFFFF"/>
        <w:ind w:left="34" w:right="10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Вместе с тем лица, уже отбывающие наказание, могли бы быть поставлены в неравное положение с теми лицами, в отношении которых приговор вынесен после вступления нового уголовного закона в силу и решение вопроса о наказании осуществляется с учетом как верхнего, так и нижнего пределов санкции соответствующей статьи, а также указанных в Общей части УК РФ обстоятельств.</w:t>
      </w:r>
    </w:p>
    <w:p w:rsidR="004E6BB0" w:rsidRPr="00BD3738" w:rsidRDefault="004E6BB0" w:rsidP="00BD3738">
      <w:pPr>
        <w:shd w:val="clear" w:color="auto" w:fill="FFFFFF"/>
        <w:ind w:left="38" w:right="14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При назначении наказания по более мягкому закону суд должен также учитывать, что законодатель в санкциях по-новому определил характер общественной опасности соответствующих преступлений - как менее опасный.</w:t>
      </w:r>
    </w:p>
    <w:p w:rsidR="004E6BB0" w:rsidRPr="00BD3738" w:rsidRDefault="004E6BB0" w:rsidP="00BD3738">
      <w:pPr>
        <w:shd w:val="clear" w:color="auto" w:fill="FFFFFF"/>
        <w:ind w:left="34" w:right="1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"/>
          <w:sz w:val="24"/>
          <w:szCs w:val="24"/>
        </w:rPr>
        <w:t>Таким образом, в случае исключения нижнего предела некоторых видов наказаний, которые назначались лицу, суд должен квалифицировать преступление по новому уголовному закону и на основе общих начал назначе</w:t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ния наказания назначить наказание в меньшем размере.</w:t>
      </w:r>
    </w:p>
    <w:p w:rsidR="004E6BB0" w:rsidRPr="00BD3738" w:rsidRDefault="004E6BB0" w:rsidP="00BD3738">
      <w:pPr>
        <w:shd w:val="clear" w:color="auto" w:fill="FFFFFF"/>
        <w:ind w:left="38" w:right="1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Новый закон подлежит применению, если в результате его издания преступление, за которое было осуж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дено лицо, стало относиться к менее тяжкой категории и данное обстоятельство улучшает положение лица (изме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няет вид режима исправительного учреждения, сокращает срок погашения или снятия судимости).</w:t>
      </w:r>
    </w:p>
    <w:p w:rsidR="004E6BB0" w:rsidRPr="00BD3738" w:rsidRDefault="004E6BB0" w:rsidP="00BD3738">
      <w:pPr>
        <w:shd w:val="clear" w:color="auto" w:fill="FFFFFF"/>
        <w:ind w:left="43" w:right="5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Новый закон подлежит применению также в тех случаях, когда имеются основания для изменения правил назначения наказания по совокупности преступлений (ч. 2 или ч. 3 ст. 69 УК РФ), в частности для применения вместо сложения правил поглощения назначенных наказаний.</w:t>
      </w:r>
    </w:p>
    <w:p w:rsidR="004E6BB0" w:rsidRPr="00BD3738" w:rsidRDefault="004E6BB0" w:rsidP="00BD3738">
      <w:pPr>
        <w:shd w:val="clear" w:color="auto" w:fill="FFFFFF"/>
        <w:ind w:left="19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</w:p>
    <w:p w:rsidR="004E6BB0" w:rsidRPr="00BD3738" w:rsidRDefault="004E6BB0" w:rsidP="00BD3738">
      <w:pPr>
        <w:shd w:val="clear" w:color="auto" w:fill="FFFFFF"/>
        <w:ind w:left="19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>«Насколько важно строго соблюдать правила обращения со ртутьсодержащими лампами»</w:t>
      </w:r>
    </w:p>
    <w:p w:rsidR="004E6BB0" w:rsidRPr="00BD3738" w:rsidRDefault="004E6BB0" w:rsidP="00BD3738">
      <w:pPr>
        <w:shd w:val="clear" w:color="auto" w:fill="FFFFFF"/>
        <w:ind w:left="19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ind w:left="19" w:right="2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Постановлением Правительства Российской Федерации от 03.09.2010 №681 утверждены </w:t>
      </w:r>
      <w:r w:rsidRPr="00BD3738">
        <w:rPr>
          <w:rFonts w:ascii="Times New Roman" w:hAnsi="Times New Roman" w:cs="Times New Roman"/>
          <w:spacing w:val="-8"/>
          <w:sz w:val="24"/>
          <w:szCs w:val="24"/>
        </w:rPr>
        <w:t xml:space="preserve">Правила обращения с отходами производства и потребления в части осветительных устройств </w:t>
      </w:r>
      <w:r w:rsidRPr="00BD3738">
        <w:rPr>
          <w:rFonts w:ascii="Times New Roman" w:hAnsi="Times New Roman" w:cs="Times New Roman"/>
          <w:sz w:val="24"/>
          <w:szCs w:val="24"/>
        </w:rPr>
        <w:t>и электрических ламп.</w:t>
      </w:r>
    </w:p>
    <w:p w:rsidR="004E6BB0" w:rsidRPr="00BD3738" w:rsidRDefault="004E6BB0" w:rsidP="00BD3738">
      <w:pPr>
        <w:shd w:val="clear" w:color="auto" w:fill="FFFFFF"/>
        <w:ind w:left="10" w:right="14" w:firstLine="76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Указанными правилами отработанные и выведенные из эксплуатации ртутьсодержащие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лампы с ртутным заполнением и содержанием ртути не менее 0,01 процента признаются ртуть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содержащими отходами, подлежащими утилизации. Согласно Федерального классификацион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ного каталога отходов отработанные ртутьсодержащие лампы отнесены к отходам </w:t>
      </w:r>
      <w:r w:rsidRPr="00BD3738">
        <w:rPr>
          <w:rFonts w:ascii="Times New Roman" w:hAnsi="Times New Roman" w:cs="Times New Roman"/>
          <w:spacing w:val="-9"/>
          <w:sz w:val="24"/>
          <w:szCs w:val="24"/>
          <w:lang w:val="en-US"/>
        </w:rPr>
        <w:t>I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 класса </w:t>
      </w:r>
      <w:r w:rsidRPr="00BD3738">
        <w:rPr>
          <w:rFonts w:ascii="Times New Roman" w:hAnsi="Times New Roman" w:cs="Times New Roman"/>
          <w:sz w:val="24"/>
          <w:szCs w:val="24"/>
        </w:rPr>
        <w:t>опасности - чрезвычайно опасные.</w:t>
      </w:r>
    </w:p>
    <w:p w:rsidR="004E6BB0" w:rsidRPr="00BD3738" w:rsidRDefault="004E6BB0" w:rsidP="00BD3738">
      <w:pPr>
        <w:shd w:val="clear" w:color="auto" w:fill="FFFFFF"/>
        <w:ind w:left="19" w:right="10"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Степень вредного воздействия таких отходов на окружающую среду оценивается как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очень высокая с необратимым нарушением в экологических системах. По токсикологической классификации химическое вещество «ртуть» также относится к первому классу опасности (чрезвычайно опасное химическое вещество). Предельно допустимая концентрация (ПДК) рту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 xml:space="preserve">ти в атмосферном воздухе и воздухе жилых, общественных помещений составляет 0,0003 мг/м .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Уже при 2-х, 3-х кратном превышении ПДК ртути в воздухе у здорового взрослого человека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появляются признаки хронического отравления. Интоксикация происходит через дыхательные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пути путем вдыхания паров ртути. Соли и кислород, содержащиеся в крови, способствуют по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глощению ртути, ее окислению и образованию ртутных солей, которые не выводятся из орга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низма. Особую опасность могут нести загрязненные ртутью компоненты окружающей среды, почва и водные объекты, а также строения, которые в течение десятков лет могут быть источ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ником выделения паров ртути. В связи с этим необходимо правильно организовать сбор и хра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t>нение ртутьсодержащих ламп и приборов, вышедших из строя, до момента их передачи на ути</w:t>
      </w:r>
      <w:r w:rsidRPr="00BD3738">
        <w:rPr>
          <w:rFonts w:ascii="Times New Roman" w:hAnsi="Times New Roman" w:cs="Times New Roman"/>
          <w:spacing w:val="-11"/>
          <w:sz w:val="24"/>
          <w:szCs w:val="24"/>
        </w:rPr>
        <w:softHyphen/>
      </w:r>
      <w:r w:rsidRPr="00BD3738">
        <w:rPr>
          <w:rFonts w:ascii="Times New Roman" w:hAnsi="Times New Roman" w:cs="Times New Roman"/>
          <w:sz w:val="24"/>
          <w:szCs w:val="24"/>
        </w:rPr>
        <w:t>лизацию.</w:t>
      </w:r>
    </w:p>
    <w:p w:rsidR="004E6BB0" w:rsidRPr="00BD3738" w:rsidRDefault="004E6BB0" w:rsidP="00BD3738">
      <w:pPr>
        <w:shd w:val="clear" w:color="auto" w:fill="FFFFFF"/>
        <w:ind w:left="24" w:firstLine="763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10"/>
          <w:sz w:val="24"/>
          <w:szCs w:val="24"/>
        </w:rPr>
        <w:t>Правилами обращения с отходами производства и потребления в части осветительных устройств и электрических ламп установлено, что юридические лица и индивидуальные пред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 xml:space="preserve">приниматели разрабатывают инструкции по организации сбора, накопления, использования,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обезвреживания, транспортирования и размещения отработанных ртутьсодержащих ламп при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менительно к конкретным условиям и назначают в ответственных лиц за обращение с указан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 xml:space="preserve">ными отходами. Потребители ртутьсодержащих ламп (кроме физических лиц) осуществляют 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накопление отработанных ртутьсодержащих ламп. Накопление отработанных ртутьсодержа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>щих ламп производится отдельно от других видов отходов. Не допускается самостоятельное обезвреживание, использование, транспортирование и размещение отработанных ртутьсодер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  <w:t xml:space="preserve">жащих ламп потребителями отработанных ртутьсодержащих ламп, а также их накопление в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 xml:space="preserve">местах, являющихся общим имуществом собственников помещений многоквартирного 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дома. Потребители ртутьсодержащих ламп (кроме физических лиц) для накопления повреж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t>денных отработанных ртутьсодержащих ламп обязаны использовать специальную тару. Орга</w:t>
      </w:r>
      <w:r w:rsidRPr="00BD3738">
        <w:rPr>
          <w:rFonts w:ascii="Times New Roman" w:hAnsi="Times New Roman" w:cs="Times New Roman"/>
          <w:spacing w:val="-9"/>
          <w:sz w:val="24"/>
          <w:szCs w:val="24"/>
        </w:rPr>
        <w:softHyphen/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t>ны местного самоуправления организуют сбор отработанных ртутьсодержащих ламп и инфор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мирование юридических лиц, индивидуальных предпринимателей и физических лиц о порядке осуществления такого сбора. Сбор отработанных ртутьсодержащих ламп у потребителей отра</w:t>
      </w:r>
      <w:r w:rsidRPr="00BD3738">
        <w:rPr>
          <w:rFonts w:ascii="Times New Roman" w:hAnsi="Times New Roman" w:cs="Times New Roman"/>
          <w:spacing w:val="-10"/>
          <w:sz w:val="24"/>
          <w:szCs w:val="24"/>
        </w:rPr>
        <w:softHyphen/>
        <w:t>ботанных ртутьсодержащих ламп осуществляют специализированные организации.</w:t>
      </w:r>
    </w:p>
    <w:p w:rsidR="004E6BB0" w:rsidRPr="00BD3738" w:rsidRDefault="004E6BB0" w:rsidP="00BD3738">
      <w:pPr>
        <w:shd w:val="clear" w:color="auto" w:fill="FFFFFF"/>
        <w:ind w:firstLine="758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Условия хранения ртутьсодержащих отходов не должны нарушать санитарные и иные требования, установленные законодательством Российской Федерации в области охраны окру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жающей среды и здоровья человека. Нарушение порядка обращения экологически опасных ве</w:t>
      </w:r>
      <w:r w:rsidRPr="00BD3738">
        <w:rPr>
          <w:rFonts w:ascii="Times New Roman" w:hAnsi="Times New Roman" w:cs="Times New Roman"/>
          <w:sz w:val="24"/>
          <w:szCs w:val="24"/>
        </w:rPr>
        <w:softHyphen/>
        <w:t>ществ и отходов, если эти деяния создают угрозу причинения существенного вреда здоровью человека либо окружающей среде, влечет наступление уголовной ответственности по ст. 247 УК РФ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pacing w:val="-2"/>
          <w:sz w:val="24"/>
          <w:szCs w:val="24"/>
        </w:rPr>
        <w:t>Заместитель прокурора Дубенского района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ab/>
      </w:r>
      <w:r w:rsidRPr="00BD3738">
        <w:rPr>
          <w:rFonts w:ascii="Times New Roman" w:hAnsi="Times New Roman" w:cs="Times New Roman"/>
          <w:sz w:val="24"/>
          <w:szCs w:val="24"/>
        </w:rPr>
        <w:tab/>
      </w:r>
      <w:r w:rsidRPr="00BD3738">
        <w:rPr>
          <w:rFonts w:ascii="Times New Roman" w:hAnsi="Times New Roman" w:cs="Times New Roman"/>
          <w:spacing w:val="-1"/>
          <w:sz w:val="24"/>
          <w:szCs w:val="24"/>
        </w:rPr>
        <w:t>В.В. Вавилов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 xml:space="preserve">Информационный бюллетень Чеберчинского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сельского поселения Дубенского муниципаль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softHyphen/>
        <w:t>ного района Республики Мордовия № 28(174)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D3738">
        <w:rPr>
          <w:rFonts w:ascii="Times New Roman" w:hAnsi="Times New Roman" w:cs="Times New Roman"/>
          <w:sz w:val="24"/>
          <w:szCs w:val="24"/>
        </w:rPr>
        <w:t>от 30.12.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2013 года.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4E6BB0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 xml:space="preserve">Учредитель: Совет депутатов Чеберчинского 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t>сельского поселения Дубенского муниципаль</w:t>
      </w:r>
      <w:r w:rsidRPr="00BD3738">
        <w:rPr>
          <w:rFonts w:ascii="Times New Roman" w:hAnsi="Times New Roman" w:cs="Times New Roman"/>
          <w:spacing w:val="-2"/>
          <w:sz w:val="24"/>
          <w:szCs w:val="24"/>
        </w:rPr>
        <w:softHyphen/>
        <w:t>ного района РМ</w:t>
      </w:r>
      <w:r w:rsidRPr="00BD373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BD3738">
        <w:rPr>
          <w:rFonts w:ascii="Times New Roman" w:hAnsi="Times New Roman" w:cs="Times New Roman"/>
          <w:sz w:val="24"/>
          <w:szCs w:val="24"/>
        </w:rPr>
        <w:t>Тираж 5 экз.</w:t>
      </w:r>
    </w:p>
    <w:p w:rsidR="004E6BB0" w:rsidRPr="00BD3738" w:rsidRDefault="004E6BB0" w:rsidP="00BD373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tabs>
          <w:tab w:val="left" w:leader="underscore" w:pos="5304"/>
          <w:tab w:val="left" w:leader="underscore" w:pos="6010"/>
          <w:tab w:val="left" w:pos="7320"/>
        </w:tabs>
        <w:ind w:left="979"/>
        <w:rPr>
          <w:rFonts w:ascii="Times New Roman" w:hAnsi="Times New Roman" w:cs="Times New Roman"/>
          <w:sz w:val="24"/>
          <w:szCs w:val="24"/>
        </w:rPr>
      </w:pPr>
    </w:p>
    <w:p w:rsidR="004E6BB0" w:rsidRPr="00BD3738" w:rsidRDefault="004E6BB0" w:rsidP="00BD3738">
      <w:pPr>
        <w:shd w:val="clear" w:color="auto" w:fill="FFFFFF"/>
        <w:tabs>
          <w:tab w:val="left" w:leader="underscore" w:pos="5304"/>
          <w:tab w:val="left" w:leader="underscore" w:pos="6010"/>
          <w:tab w:val="left" w:pos="7320"/>
        </w:tabs>
        <w:ind w:left="979"/>
        <w:rPr>
          <w:rFonts w:ascii="Times New Roman" w:hAnsi="Times New Roman" w:cs="Times New Roman"/>
          <w:sz w:val="24"/>
          <w:szCs w:val="24"/>
        </w:rPr>
        <w:sectPr w:rsidR="004E6BB0" w:rsidRPr="00BD3738" w:rsidSect="00B709A5">
          <w:pgSz w:w="11909" w:h="16834"/>
          <w:pgMar w:top="663" w:right="569" w:bottom="360" w:left="1701" w:header="720" w:footer="720" w:gutter="0"/>
          <w:cols w:space="60"/>
          <w:noEndnote/>
        </w:sectPr>
      </w:pPr>
    </w:p>
    <w:p w:rsidR="004E6BB0" w:rsidRPr="00BD3738" w:rsidRDefault="004E6BB0" w:rsidP="00BD3738">
      <w:pPr>
        <w:shd w:val="clear" w:color="auto" w:fill="FFFFFF"/>
        <w:rPr>
          <w:rFonts w:ascii="Times New Roman" w:hAnsi="Times New Roman" w:cs="Times New Roman"/>
          <w:sz w:val="24"/>
          <w:szCs w:val="24"/>
        </w:rPr>
        <w:sectPr w:rsidR="004E6BB0" w:rsidRPr="00BD3738">
          <w:type w:val="continuous"/>
          <w:pgSz w:w="11909" w:h="16834"/>
          <w:pgMar w:top="663" w:right="444" w:bottom="360" w:left="1587" w:header="720" w:footer="720" w:gutter="0"/>
          <w:cols w:num="2" w:space="720" w:equalWidth="0">
            <w:col w:w="3067" w:space="1987"/>
            <w:col w:w="4824"/>
          </w:cols>
          <w:noEndnote/>
        </w:sectPr>
      </w:pPr>
      <w:r w:rsidRPr="00BD3738">
        <w:rPr>
          <w:rFonts w:ascii="Times New Roman" w:hAnsi="Times New Roman" w:cs="Times New Roman"/>
          <w:sz w:val="24"/>
          <w:szCs w:val="24"/>
        </w:rPr>
        <w:br w:type="column"/>
        <w:t xml:space="preserve"> </w:t>
      </w:r>
    </w:p>
    <w:p w:rsidR="004E6BB0" w:rsidRPr="00BD3738" w:rsidRDefault="004E6BB0" w:rsidP="00BD3738">
      <w:pPr>
        <w:shd w:val="clear" w:color="auto" w:fill="FFFFFF"/>
        <w:tabs>
          <w:tab w:val="left" w:pos="6528"/>
          <w:tab w:val="left" w:pos="9475"/>
        </w:tabs>
        <w:ind w:left="970"/>
        <w:rPr>
          <w:rFonts w:ascii="Times New Roman" w:hAnsi="Times New Roman" w:cs="Times New Roman"/>
          <w:sz w:val="24"/>
          <w:szCs w:val="24"/>
        </w:rPr>
      </w:pPr>
    </w:p>
    <w:sectPr w:rsidR="004E6BB0" w:rsidRPr="00BD3738" w:rsidSect="004E6BB0">
      <w:type w:val="continuous"/>
      <w:pgSz w:w="11909" w:h="16834"/>
      <w:pgMar w:top="663" w:right="435" w:bottom="360" w:left="60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1EB6"/>
    <w:rsid w:val="004E6BB0"/>
    <w:rsid w:val="006A1EB6"/>
    <w:rsid w:val="006E0B88"/>
    <w:rsid w:val="008A4E0B"/>
    <w:rsid w:val="00B709A5"/>
    <w:rsid w:val="00BD3738"/>
    <w:rsid w:val="00E2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3</Pages>
  <Words>1474</Words>
  <Characters>8403</Characters>
  <Application>Microsoft Office Outlook</Application>
  <DocSecurity>0</DocSecurity>
  <Lines>0</Lines>
  <Paragraphs>0</Paragraphs>
  <ScaleCrop>false</ScaleCrop>
  <Company>Чеберчинская с/а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1</cp:revision>
  <dcterms:created xsi:type="dcterms:W3CDTF">2014-01-16T11:41:00Z</dcterms:created>
  <dcterms:modified xsi:type="dcterms:W3CDTF">2014-01-16T12:18:00Z</dcterms:modified>
</cp:coreProperties>
</file>