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238" w:after="62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РЕСПУБЛИКА МОРДОВИЯ</w:t>
      </w:r>
    </w:p>
    <w:p>
      <w:pPr>
        <w:spacing w:before="108" w:after="108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26282F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26282F"/>
          <w:spacing w:val="0"/>
          <w:position w:val="0"/>
          <w:sz w:val="28"/>
          <w:u w:val="single"/>
          <w:shd w:fill="auto" w:val="clear"/>
        </w:rPr>
        <w:t xml:space="preserve">Дубенский муниципальный район Совет депутатов Кабае</w:t>
      </w:r>
      <w:r>
        <w:rPr>
          <w:rFonts w:ascii="Times New Roman" w:hAnsi="Times New Roman" w:cs="Times New Roman" w:eastAsia="Times New Roman"/>
          <w:b/>
          <w:color w:val="26282F"/>
          <w:spacing w:val="0"/>
          <w:position w:val="0"/>
          <w:sz w:val="28"/>
          <w:shd w:fill="auto" w:val="clear"/>
        </w:rPr>
        <w:t xml:space="preserve">вского сельского поселения пятого созыва</w:t>
      </w:r>
    </w:p>
    <w:p>
      <w:pPr>
        <w:spacing w:before="10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РЕШЕНИЕ</w:t>
      </w:r>
    </w:p>
    <w:p>
      <w:pPr>
        <w:spacing w:before="10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с. Кабаево                                         проект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                                                                                      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 ВНЕСЕНИИ ИЗМЕНЕНИЙ В РЕШЕНИЕ СОВЕТА ДЕПУТАТОВ КАБАЕВСКОГО СЕЛЬСКОГО ПОСЕЛЕНИЯ  ДУБЕНСКОГО  МУНИЦИПАЛЬНОГО РАЙОНА ОТ  30.11.2005г.  № 33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ОБ УСТАНОВЛЕНИИ ЗЕМЕЛЬНОГО НАЛОГА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целях приведения в соответствие с Налоговым кодексом Российской Федерации:                                                                                    1. Внести изменение в решение Совета депутатов Кабаевского  сельского поселения Дубенского  муниципального района от 30.11.2005г. № 33 "Об установлении земельного налога", изложив его в следующей редакции: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Ввести в действие на территории Кабаевского  сельского поселения земельный налог и установить налоговые ставки, порядок и сроки уплаты.                                                                                                 2. Установить налоговые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ставки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земельного налога в размере: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1) 0,3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процента в отношении земельных участков: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приобретенных (предоставленных) для личного подсобного хозяйства, садоводства, огородничества или животноводства, а также дачного хозяйства;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2) 1,5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процента в отношении прочих земельных участков.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Освободить от уплаты земельного </w:t>
      </w: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налога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следующие категории налогоплательщиков: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организации - в отношении земельных участков, занятых под объектами и территориями, отведенные под места погребения;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организации в отношении земельных участков, входящих в состав государственной (муниципальной) казны;                                                              4.       Налогоплательщики-организации уплачивают авансовые платежи по </w:t>
      </w: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налогу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                                                                                                              5.      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Кабаевского  сельского поселения  не позднее 1 марта указанного года.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решение вступает в силу со дня его </w:t>
      </w:r>
      <w:hyperlink xmlns:r="http://schemas.openxmlformats.org/officeDocument/2006/relationships" r:id="docRId3">
        <w:r>
          <w:rPr>
            <w:rFonts w:ascii="Times New Roman" w:hAnsi="Times New Roman" w:cs="Times New Roman" w:eastAsia="Times New Roman"/>
            <w:color w:val="000080"/>
            <w:spacing w:val="0"/>
            <w:position w:val="0"/>
            <w:sz w:val="28"/>
            <w:u w:val="single"/>
            <w:shd w:fill="auto" w:val="clear"/>
          </w:rPr>
          <w:t xml:space="preserve">официального опубликования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Информационном бюллетене, на официальном сайте администрации  Кабаевского сельского поселения.</w:t>
      </w:r>
    </w:p>
    <w:p>
      <w:pPr>
        <w:spacing w:before="10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0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0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0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 Совета депутатов </w:t>
        <w:br/>
        <w:t xml:space="preserve">Кабае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вского сельского поселения:                                     М.Н.Орлова                                          </w:t>
      </w:r>
    </w:p>
    <w:p>
      <w:pPr>
        <w:spacing w:before="10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0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0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consultantplus://offline/ref=DDA9809F9AF88F4BBF51BEA82646D1F6473A65B95161B6D82F8756ECFEE8A88F1953662E702By7k0G" Id="docRId1" Type="http://schemas.openxmlformats.org/officeDocument/2006/relationships/hyperlink"/><Relationship TargetMode="External" Target="garantf1://8937954.0/" Id="docRId3" Type="http://schemas.openxmlformats.org/officeDocument/2006/relationships/hyperlink"/><Relationship Target="styles.xml" Id="docRId5" Type="http://schemas.openxmlformats.org/officeDocument/2006/relationships/styles"/><Relationship TargetMode="External" Target="consultantplus://offline/ref=DDA9809F9AF88F4BBF51BEA82646D1F6473A65B95161B6D82F8756ECFEE8A88F1953662E7027y7k2G" Id="docRId0" Type="http://schemas.openxmlformats.org/officeDocument/2006/relationships/hyperlink"/><Relationship TargetMode="External" Target="consultantplus://offline/ref=DDA9809F9AF88F4BBF51BEA82646D1F6473A65B95161B6D82F8756ECFEE8A88F1953662E772Dy7k4G" Id="docRId2" Type="http://schemas.openxmlformats.org/officeDocument/2006/relationships/hyperlink"/><Relationship Target="numbering.xml" Id="docRId4" Type="http://schemas.openxmlformats.org/officeDocument/2006/relationships/numbering"/></Relationships>
</file>