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959" w:rsidRDefault="00454073" w:rsidP="007A0E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B10">
        <w:rPr>
          <w:rFonts w:ascii="Times New Roman" w:hAnsi="Times New Roman" w:cs="Times New Roman"/>
          <w:b/>
          <w:sz w:val="28"/>
          <w:szCs w:val="28"/>
        </w:rPr>
        <w:t xml:space="preserve">В 2015 году 990 </w:t>
      </w:r>
      <w:r w:rsidR="007A0EE6" w:rsidRPr="004E0B10">
        <w:rPr>
          <w:rFonts w:ascii="Times New Roman" w:hAnsi="Times New Roman" w:cs="Times New Roman"/>
          <w:b/>
          <w:sz w:val="28"/>
          <w:szCs w:val="28"/>
        </w:rPr>
        <w:t>правопреемников в Республике Мордовия получили пенсионные накопления родственников</w:t>
      </w:r>
    </w:p>
    <w:p w:rsidR="006247A7" w:rsidRPr="004E0B10" w:rsidRDefault="006247A7" w:rsidP="00624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47A7" w:rsidRPr="004E0B10" w:rsidRDefault="006247A7" w:rsidP="00624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В 2015 году в Республике Мордовия 990 правопреемников получили пенсионные накопления родственников в сумме 17,4 млн. рублей. </w:t>
      </w:r>
    </w:p>
    <w:p w:rsidR="006247A7" w:rsidRPr="004E0B10" w:rsidRDefault="006247A7" w:rsidP="00624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В общей сложности было выплачено более 70 млн. рублей 5476 правопреемникам. Средняя выплата средств пенсионных накоплений составила 13 тысяч рублей. Максимальная выплата – 226 тысяч рублей.</w:t>
      </w:r>
    </w:p>
    <w:p w:rsidR="000C08AC" w:rsidRDefault="000C08AC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64CD" w:rsidRPr="004E0B10" w:rsidRDefault="00C04959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E0B10">
        <w:rPr>
          <w:rFonts w:ascii="Times New Roman" w:hAnsi="Times New Roman" w:cs="Times New Roman"/>
          <w:sz w:val="28"/>
          <w:szCs w:val="28"/>
        </w:rPr>
        <w:t xml:space="preserve">Накопительная пенсия - это ежемесячная пожизненная выплата </w:t>
      </w:r>
      <w:hyperlink r:id="rId5" w:history="1">
        <w:r w:rsidRPr="004E0B1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пенсионных накоплений</w:t>
        </w:r>
      </w:hyperlink>
      <w:r w:rsidRPr="004E0B10">
        <w:rPr>
          <w:rFonts w:ascii="Times New Roman" w:hAnsi="Times New Roman" w:cs="Times New Roman"/>
          <w:sz w:val="28"/>
          <w:szCs w:val="28"/>
        </w:rPr>
        <w:t>, сформированных за счет страховых взносов работодателей и дохода от их инвестирования.</w:t>
      </w:r>
    </w:p>
    <w:p w:rsidR="00C04959" w:rsidRPr="004E0B10" w:rsidRDefault="00C04959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Она формируется у граждан 1967 года </w:t>
      </w:r>
      <w:r w:rsidR="004E0B10" w:rsidRPr="004E0B10">
        <w:rPr>
          <w:rFonts w:ascii="Times New Roman" w:hAnsi="Times New Roman" w:cs="Times New Roman"/>
          <w:sz w:val="28"/>
          <w:szCs w:val="28"/>
        </w:rPr>
        <w:t xml:space="preserve">рождения </w:t>
      </w:r>
      <w:r w:rsidRPr="004E0B10">
        <w:rPr>
          <w:rFonts w:ascii="Times New Roman" w:hAnsi="Times New Roman" w:cs="Times New Roman"/>
          <w:sz w:val="28"/>
          <w:szCs w:val="28"/>
        </w:rPr>
        <w:t>и моложе, если до конца 2015 года был сделан выбор в ее пользу.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B10">
        <w:rPr>
          <w:rFonts w:ascii="Times New Roman" w:hAnsi="Times New Roman" w:cs="Times New Roman"/>
          <w:b/>
          <w:sz w:val="28"/>
          <w:szCs w:val="28"/>
        </w:rPr>
        <w:t>Что же включают в себя средства пенсионных накоплений?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Прежде всего, как уже было сказано выше, это суммы страховых взносов на накопительную пенсию, перечисленные работодателем в рамках обязательного пенсионного страхования на финансирование накопительной пенсии. Однако в накопительную пенсию также входят  суммы уплаченных гражданами дополнительных страховых взносов на накопительную пенсию или суммы взносов работодателей, если они являются третьей стороной Программы государственного софинансирования пенсий, а также суммы взносов, перечисленных государством на софинансирование формирования пенсионных накоплений.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Пенсионными накоплениями также может являться сумма средств (часть средств) материнского (семейного) капитала, направленная на формирование накопительной пенсии.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И естественно, доход от инвестирования указанных средств тоже включается в </w:t>
      </w:r>
      <w:r w:rsidR="004E0B10" w:rsidRPr="004E0B10">
        <w:rPr>
          <w:rFonts w:ascii="Times New Roman" w:hAnsi="Times New Roman" w:cs="Times New Roman"/>
          <w:sz w:val="28"/>
          <w:szCs w:val="28"/>
        </w:rPr>
        <w:t>накопления.</w:t>
      </w:r>
    </w:p>
    <w:p w:rsidR="004E0B10" w:rsidRPr="004E0B10" w:rsidRDefault="004E0B10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B10">
        <w:rPr>
          <w:rFonts w:ascii="Times New Roman" w:hAnsi="Times New Roman" w:cs="Times New Roman"/>
          <w:b/>
          <w:sz w:val="28"/>
          <w:szCs w:val="28"/>
        </w:rPr>
        <w:t>Пенсионные накопления могут быть выплачены в виде: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B10">
        <w:rPr>
          <w:rFonts w:ascii="Times New Roman" w:hAnsi="Times New Roman" w:cs="Times New Roman"/>
          <w:i/>
          <w:sz w:val="28"/>
          <w:szCs w:val="28"/>
        </w:rPr>
        <w:t>- единовременной выплаты;</w:t>
      </w: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B10">
        <w:rPr>
          <w:rFonts w:ascii="Times New Roman" w:hAnsi="Times New Roman" w:cs="Times New Roman"/>
          <w:i/>
          <w:sz w:val="28"/>
          <w:szCs w:val="28"/>
        </w:rPr>
        <w:t>- срочной пенсионной выплаты;</w:t>
      </w: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B10">
        <w:rPr>
          <w:rFonts w:ascii="Times New Roman" w:hAnsi="Times New Roman" w:cs="Times New Roman"/>
          <w:i/>
          <w:sz w:val="28"/>
          <w:szCs w:val="28"/>
        </w:rPr>
        <w:t>- накопительной пенсии.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4959" w:rsidRPr="004E0B10" w:rsidRDefault="00C04959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Накопительную пенсию, в отличие от страховой, могут получить  </w:t>
      </w:r>
      <w:r w:rsidRPr="004E0B10">
        <w:rPr>
          <w:rFonts w:ascii="Times New Roman" w:hAnsi="Times New Roman" w:cs="Times New Roman"/>
          <w:sz w:val="28"/>
          <w:szCs w:val="28"/>
        </w:rPr>
        <w:t>правопреемник</w:t>
      </w:r>
      <w:r w:rsidRPr="004E0B10">
        <w:rPr>
          <w:rFonts w:ascii="Times New Roman" w:hAnsi="Times New Roman" w:cs="Times New Roman"/>
          <w:sz w:val="28"/>
          <w:szCs w:val="28"/>
        </w:rPr>
        <w:t>и</w:t>
      </w:r>
      <w:r w:rsidRPr="004E0B10">
        <w:rPr>
          <w:rFonts w:ascii="Times New Roman" w:hAnsi="Times New Roman" w:cs="Times New Roman"/>
          <w:sz w:val="28"/>
          <w:szCs w:val="28"/>
        </w:rPr>
        <w:t xml:space="preserve"> умершего застрахованного лица</w:t>
      </w:r>
      <w:r w:rsidR="007A0EE6" w:rsidRPr="004E0B10">
        <w:rPr>
          <w:rFonts w:ascii="Times New Roman" w:hAnsi="Times New Roman" w:cs="Times New Roman"/>
          <w:sz w:val="28"/>
          <w:szCs w:val="28"/>
        </w:rPr>
        <w:t>. Сделать это они могут в двух случаях: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  <w:u w:val="single"/>
        </w:rPr>
        <w:t>– ДО</w:t>
      </w:r>
      <w:r w:rsidRPr="004E0B10">
        <w:rPr>
          <w:rFonts w:ascii="Times New Roman" w:hAnsi="Times New Roman" w:cs="Times New Roman"/>
          <w:sz w:val="28"/>
          <w:szCs w:val="28"/>
        </w:rPr>
        <w:t xml:space="preserve"> назначения </w:t>
      </w:r>
      <w:r w:rsidRPr="004E0B10">
        <w:rPr>
          <w:rFonts w:ascii="Times New Roman" w:hAnsi="Times New Roman" w:cs="Times New Roman"/>
          <w:sz w:val="28"/>
          <w:szCs w:val="28"/>
        </w:rPr>
        <w:t>умершему родственнику</w:t>
      </w:r>
      <w:r w:rsidRPr="004E0B10">
        <w:rPr>
          <w:rFonts w:ascii="Times New Roman" w:hAnsi="Times New Roman" w:cs="Times New Roman"/>
          <w:sz w:val="28"/>
          <w:szCs w:val="28"/>
        </w:rPr>
        <w:t xml:space="preserve">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7A0EE6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  <w:u w:val="single"/>
        </w:rPr>
        <w:t>– ПОСЛЕ</w:t>
      </w:r>
      <w:r w:rsidRPr="004E0B10">
        <w:rPr>
          <w:rFonts w:ascii="Times New Roman" w:hAnsi="Times New Roman" w:cs="Times New Roman"/>
          <w:sz w:val="28"/>
          <w:szCs w:val="28"/>
        </w:rPr>
        <w:t xml:space="preserve">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</w:t>
      </w:r>
      <w:r w:rsidRPr="004E0B10">
        <w:rPr>
          <w:rFonts w:ascii="Times New Roman" w:hAnsi="Times New Roman" w:cs="Times New Roman"/>
          <w:sz w:val="28"/>
          <w:szCs w:val="28"/>
        </w:rPr>
        <w:t>на формирование будущей пенсии).</w:t>
      </w:r>
    </w:p>
    <w:p w:rsidR="004E0B10" w:rsidRPr="004E0B10" w:rsidRDefault="004E0B10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52CF" w:rsidRPr="004E0B10" w:rsidRDefault="006F52CF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Для получения выплаты правопреемникам необходимо обратиться с соответствующими документами не позднее шести месяцев со дня смерти застрахованного лица в любое Управление ПФР, либо негосударственный пенсионный фонд (в зависимости от того, где умершим застрахованным лицом формировались пенсионные накопления на дату его смерти).</w:t>
      </w:r>
    </w:p>
    <w:p w:rsidR="006F52CF" w:rsidRDefault="006F52CF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Решение о выплате принимается в седьмом месяце со дня смерти застрахованного лица, выплата производится не позднее 20-го числа месяца, следующего за месяцем, в котором принято соответствующее решение.</w:t>
      </w:r>
    </w:p>
    <w:sectPr w:rsidR="006F5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862"/>
    <w:rsid w:val="000C08AC"/>
    <w:rsid w:val="003F1C38"/>
    <w:rsid w:val="00454073"/>
    <w:rsid w:val="004E0B10"/>
    <w:rsid w:val="006247A7"/>
    <w:rsid w:val="00676CB9"/>
    <w:rsid w:val="006F52CF"/>
    <w:rsid w:val="007064CD"/>
    <w:rsid w:val="007A0EE6"/>
    <w:rsid w:val="00945862"/>
    <w:rsid w:val="00C0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chto_nuzh_pens_na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4</cp:revision>
  <cp:lastPrinted>2016-03-15T07:02:00Z</cp:lastPrinted>
  <dcterms:created xsi:type="dcterms:W3CDTF">2016-03-15T07:21:00Z</dcterms:created>
  <dcterms:modified xsi:type="dcterms:W3CDTF">2016-03-15T07:30:00Z</dcterms:modified>
</cp:coreProperties>
</file>